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4B4" w:rsidRDefault="008B3ED7" w:rsidP="000424B4">
      <w:pPr>
        <w:pBdr>
          <w:top w:val="single" w:sz="4" w:space="1" w:color="auto"/>
          <w:left w:val="single" w:sz="4" w:space="4" w:color="auto"/>
          <w:bottom w:val="single" w:sz="4" w:space="1" w:color="auto"/>
          <w:right w:val="single" w:sz="4" w:space="4" w:color="auto"/>
        </w:pBdr>
        <w:spacing w:after="120" w:line="240" w:lineRule="auto"/>
        <w:jc w:val="center"/>
        <w:rPr>
          <w:b/>
        </w:rPr>
      </w:pPr>
      <w:r w:rsidRPr="008B3ED7">
        <w:rPr>
          <w:b/>
        </w:rPr>
        <w:t xml:space="preserve">Parangonnage en vue de la gestion de la sortie de crise </w:t>
      </w:r>
    </w:p>
    <w:p w:rsidR="000424B4" w:rsidRDefault="008B3ED7" w:rsidP="000424B4">
      <w:pPr>
        <w:pBdr>
          <w:top w:val="single" w:sz="4" w:space="1" w:color="auto"/>
          <w:left w:val="single" w:sz="4" w:space="4" w:color="auto"/>
          <w:bottom w:val="single" w:sz="4" w:space="1" w:color="auto"/>
          <w:right w:val="single" w:sz="4" w:space="4" w:color="auto"/>
        </w:pBdr>
        <w:spacing w:after="120" w:line="240" w:lineRule="auto"/>
        <w:jc w:val="center"/>
        <w:rPr>
          <w:b/>
        </w:rPr>
      </w:pPr>
      <w:proofErr w:type="gramStart"/>
      <w:r w:rsidRPr="008B3ED7">
        <w:rPr>
          <w:b/>
        </w:rPr>
        <w:t>dans</w:t>
      </w:r>
      <w:proofErr w:type="gramEnd"/>
      <w:r w:rsidRPr="008B3ED7">
        <w:rPr>
          <w:b/>
        </w:rPr>
        <w:t xml:space="preserve"> les établissements d’enseignement supérieur</w:t>
      </w:r>
    </w:p>
    <w:p w:rsidR="006B125A" w:rsidRPr="0096387A" w:rsidRDefault="0096387A" w:rsidP="000424B4">
      <w:pPr>
        <w:pBdr>
          <w:top w:val="single" w:sz="4" w:space="1" w:color="auto"/>
          <w:left w:val="single" w:sz="4" w:space="4" w:color="auto"/>
          <w:bottom w:val="single" w:sz="4" w:space="1" w:color="auto"/>
          <w:right w:val="single" w:sz="4" w:space="4" w:color="auto"/>
        </w:pBdr>
        <w:spacing w:after="120" w:line="240" w:lineRule="auto"/>
        <w:jc w:val="center"/>
        <w:rPr>
          <w:i/>
        </w:rPr>
      </w:pPr>
      <w:r>
        <w:rPr>
          <w:i/>
        </w:rPr>
        <w:t>S</w:t>
      </w:r>
      <w:r w:rsidR="008B3ED7" w:rsidRPr="0096387A">
        <w:rPr>
          <w:i/>
        </w:rPr>
        <w:t>ynthèse au 1</w:t>
      </w:r>
      <w:r w:rsidR="008B3ED7" w:rsidRPr="0096387A">
        <w:rPr>
          <w:i/>
          <w:vertAlign w:val="superscript"/>
        </w:rPr>
        <w:t>er</w:t>
      </w:r>
      <w:r w:rsidR="008B3ED7" w:rsidRPr="0096387A">
        <w:rPr>
          <w:i/>
        </w:rPr>
        <w:t xml:space="preserve"> juin 2020</w:t>
      </w:r>
    </w:p>
    <w:p w:rsidR="00F86C11" w:rsidRDefault="00F86C11" w:rsidP="000D61D9">
      <w:pPr>
        <w:spacing w:after="120" w:line="240" w:lineRule="auto"/>
        <w:jc w:val="both"/>
      </w:pPr>
    </w:p>
    <w:p w:rsidR="005318E4" w:rsidRDefault="005318E4" w:rsidP="000D61D9">
      <w:pPr>
        <w:spacing w:after="120" w:line="240" w:lineRule="auto"/>
        <w:jc w:val="both"/>
      </w:pPr>
      <w:r>
        <w:t xml:space="preserve">Dans le cadre de la gestion de la sortie de crise COVID-19, </w:t>
      </w:r>
      <w:r w:rsidR="00D21010">
        <w:t xml:space="preserve">il est apparu essentiel de connaître </w:t>
      </w:r>
      <w:r>
        <w:t xml:space="preserve">les dispositifs de sorties de </w:t>
      </w:r>
      <w:r w:rsidR="00D21010">
        <w:t xml:space="preserve">adoptés par les acteurs de la mobilité étudiante les plus importants à l’international et leurs </w:t>
      </w:r>
      <w:r>
        <w:t>établissements d’enseignement supérieur et de recherche.</w:t>
      </w:r>
    </w:p>
    <w:p w:rsidR="00B829A5" w:rsidRPr="004D664C" w:rsidRDefault="00B829A5" w:rsidP="000D61D9">
      <w:pPr>
        <w:spacing w:after="120" w:line="240" w:lineRule="auto"/>
        <w:jc w:val="both"/>
        <w:rPr>
          <w:b/>
          <w:u w:val="single"/>
        </w:rPr>
      </w:pPr>
      <w:r w:rsidRPr="004D664C">
        <w:rPr>
          <w:b/>
          <w:u w:val="single"/>
        </w:rPr>
        <w:t xml:space="preserve">Enquête auprès des </w:t>
      </w:r>
      <w:r w:rsidR="00B470B7">
        <w:rPr>
          <w:b/>
          <w:u w:val="single"/>
        </w:rPr>
        <w:t>postes diplomatiques</w:t>
      </w:r>
    </w:p>
    <w:p w:rsidR="0009235C" w:rsidRDefault="0095610F" w:rsidP="000D61D9">
      <w:pPr>
        <w:spacing w:after="120" w:line="240" w:lineRule="auto"/>
        <w:jc w:val="both"/>
      </w:pPr>
      <w:r>
        <w:t xml:space="preserve">En concertation avec la DAEI, la DGM/ESR a lancé le </w:t>
      </w:r>
      <w:r w:rsidR="00F44ADC">
        <w:t>4 mai 2020</w:t>
      </w:r>
      <w:r w:rsidR="0009235C">
        <w:t xml:space="preserve"> </w:t>
      </w:r>
      <w:r>
        <w:t xml:space="preserve">une enquête </w:t>
      </w:r>
      <w:r w:rsidR="0009235C">
        <w:t xml:space="preserve">auprès </w:t>
      </w:r>
      <w:r w:rsidR="00EA05E6">
        <w:t xml:space="preserve">des </w:t>
      </w:r>
      <w:r w:rsidR="0009235C">
        <w:t>ambassades</w:t>
      </w:r>
      <w:r w:rsidR="00EA05E6">
        <w:t xml:space="preserve"> de pays pour lesquels les enjeux de mobilité étudiante entrante ou sortante avec la France sont significatifs</w:t>
      </w:r>
      <w:r w:rsidR="00893F50">
        <w:t>.</w:t>
      </w:r>
      <w:r w:rsidR="00CA7854">
        <w:t xml:space="preserve"> </w:t>
      </w:r>
      <w:r w:rsidR="00BA1036">
        <w:t xml:space="preserve">Les questions </w:t>
      </w:r>
      <w:r w:rsidR="0009235C">
        <w:t xml:space="preserve"> posées </w:t>
      </w:r>
      <w:r w:rsidR="007E563C">
        <w:t>couvrent à la fois la gestion de la fin de l’année en cours et les conditions de la prochaine rentrée :</w:t>
      </w:r>
    </w:p>
    <w:p w:rsidR="009B6297" w:rsidRPr="00FE73ED" w:rsidRDefault="006A185F" w:rsidP="00FE73ED">
      <w:pPr>
        <w:pStyle w:val="Paragraphedeliste"/>
        <w:numPr>
          <w:ilvl w:val="0"/>
          <w:numId w:val="3"/>
        </w:numPr>
        <w:spacing w:after="120" w:line="240" w:lineRule="auto"/>
        <w:jc w:val="both"/>
        <w:rPr>
          <w:i/>
        </w:rPr>
      </w:pPr>
      <w:r w:rsidRPr="00FE73ED">
        <w:rPr>
          <w:i/>
        </w:rPr>
        <w:t>Mobilité internationale</w:t>
      </w:r>
      <w:r w:rsidR="009B6297" w:rsidRPr="00FE73ED">
        <w:rPr>
          <w:i/>
        </w:rPr>
        <w:t xml:space="preserve"> </w:t>
      </w:r>
    </w:p>
    <w:p w:rsidR="0009235C" w:rsidRPr="00FE73ED" w:rsidRDefault="009B6297" w:rsidP="000D61D9">
      <w:pPr>
        <w:pStyle w:val="Paragraphedeliste"/>
        <w:numPr>
          <w:ilvl w:val="0"/>
          <w:numId w:val="2"/>
        </w:numPr>
        <w:spacing w:after="120" w:line="240" w:lineRule="auto"/>
        <w:contextualSpacing w:val="0"/>
        <w:jc w:val="both"/>
        <w:rPr>
          <w:i/>
        </w:rPr>
      </w:pPr>
      <w:r w:rsidRPr="00FE73ED">
        <w:rPr>
          <w:i/>
        </w:rPr>
        <w:t xml:space="preserve">Votre pays de résidence </w:t>
      </w:r>
      <w:proofErr w:type="spellStart"/>
      <w:r w:rsidRPr="00FE73ED">
        <w:rPr>
          <w:i/>
        </w:rPr>
        <w:t>prévoit-il</w:t>
      </w:r>
      <w:proofErr w:type="spellEnd"/>
      <w:r w:rsidRPr="00FE73ED">
        <w:rPr>
          <w:i/>
        </w:rPr>
        <w:t xml:space="preserve"> d’ouvrir ses frontières aux étudiants étrangers ? A partir de quand ? Sous quelles conditions (test ? quatorzaine ? Sous quelle forme ?)</w:t>
      </w:r>
    </w:p>
    <w:p w:rsidR="00583646" w:rsidRPr="00FE73ED" w:rsidRDefault="00583646" w:rsidP="000D61D9">
      <w:pPr>
        <w:pStyle w:val="Paragraphedeliste"/>
        <w:numPr>
          <w:ilvl w:val="0"/>
          <w:numId w:val="2"/>
        </w:numPr>
        <w:spacing w:after="120" w:line="240" w:lineRule="auto"/>
        <w:contextualSpacing w:val="0"/>
        <w:jc w:val="both"/>
        <w:rPr>
          <w:i/>
        </w:rPr>
      </w:pPr>
      <w:r w:rsidRPr="00FE73ED">
        <w:rPr>
          <w:i/>
        </w:rPr>
        <w:t>Les établissements se mettent-ils en mesure d’assurer un enseignement à distance dans l’attente de l’accès au territoire ?</w:t>
      </w:r>
    </w:p>
    <w:p w:rsidR="00583646" w:rsidRPr="00FE73ED" w:rsidRDefault="00583646" w:rsidP="000D61D9">
      <w:pPr>
        <w:pStyle w:val="Paragraphedeliste"/>
        <w:numPr>
          <w:ilvl w:val="0"/>
          <w:numId w:val="2"/>
        </w:numPr>
        <w:spacing w:after="120" w:line="240" w:lineRule="auto"/>
        <w:contextualSpacing w:val="0"/>
        <w:jc w:val="both"/>
        <w:rPr>
          <w:i/>
        </w:rPr>
      </w:pPr>
      <w:r w:rsidRPr="00FE73ED">
        <w:rPr>
          <w:i/>
        </w:rPr>
        <w:t xml:space="preserve">Quelles adaptations au régime des visas ? Des </w:t>
      </w:r>
      <w:proofErr w:type="spellStart"/>
      <w:r w:rsidRPr="00FE73ED">
        <w:rPr>
          <w:i/>
        </w:rPr>
        <w:t>pré-requis</w:t>
      </w:r>
      <w:proofErr w:type="spellEnd"/>
      <w:r w:rsidRPr="00FE73ED">
        <w:rPr>
          <w:i/>
        </w:rPr>
        <w:t xml:space="preserve"> supplémentaires de type sanitaire (ou de mise en quarantaine en arrivant) seront-ils demandés lors des demandes de visa pour effectuer les mobilités ?</w:t>
      </w:r>
    </w:p>
    <w:p w:rsidR="006F14AE" w:rsidRPr="00FE73ED" w:rsidRDefault="006F14AE" w:rsidP="00FE73ED">
      <w:pPr>
        <w:pStyle w:val="Paragraphedeliste"/>
        <w:numPr>
          <w:ilvl w:val="0"/>
          <w:numId w:val="4"/>
        </w:numPr>
        <w:spacing w:after="120" w:line="240" w:lineRule="auto"/>
        <w:jc w:val="both"/>
        <w:rPr>
          <w:i/>
        </w:rPr>
      </w:pPr>
      <w:r w:rsidRPr="00FE73ED">
        <w:rPr>
          <w:i/>
        </w:rPr>
        <w:t>Organisation des examens et concours, modalités de contrôle des connai</w:t>
      </w:r>
      <w:r w:rsidR="006A185F" w:rsidRPr="00FE73ED">
        <w:rPr>
          <w:i/>
        </w:rPr>
        <w:t>ssances</w:t>
      </w:r>
    </w:p>
    <w:p w:rsidR="007E563C" w:rsidRPr="00FE73ED" w:rsidRDefault="006F14AE" w:rsidP="000D61D9">
      <w:pPr>
        <w:spacing w:after="120" w:line="240" w:lineRule="auto"/>
        <w:jc w:val="both"/>
        <w:rPr>
          <w:i/>
        </w:rPr>
      </w:pPr>
      <w:r w:rsidRPr="00FE73ED">
        <w:rPr>
          <w:i/>
        </w:rPr>
        <w:t>Votre p</w:t>
      </w:r>
      <w:r w:rsidR="007E563C" w:rsidRPr="00FE73ED">
        <w:rPr>
          <w:i/>
        </w:rPr>
        <w:t xml:space="preserve">ays de résidence </w:t>
      </w:r>
      <w:proofErr w:type="spellStart"/>
      <w:r w:rsidR="007E563C" w:rsidRPr="00FE73ED">
        <w:rPr>
          <w:i/>
        </w:rPr>
        <w:t>prévoit-il</w:t>
      </w:r>
      <w:proofErr w:type="spellEnd"/>
      <w:r w:rsidR="007E563C" w:rsidRPr="00FE73ED">
        <w:rPr>
          <w:i/>
        </w:rPr>
        <w:t xml:space="preserve"> : </w:t>
      </w:r>
    </w:p>
    <w:p w:rsidR="007E563C" w:rsidRPr="00FE73ED" w:rsidRDefault="006F14AE" w:rsidP="000D61D9">
      <w:pPr>
        <w:pStyle w:val="Paragraphedeliste"/>
        <w:numPr>
          <w:ilvl w:val="0"/>
          <w:numId w:val="2"/>
        </w:numPr>
        <w:spacing w:after="120" w:line="240" w:lineRule="auto"/>
        <w:contextualSpacing w:val="0"/>
        <w:jc w:val="both"/>
        <w:rPr>
          <w:b/>
          <w:i/>
        </w:rPr>
      </w:pPr>
      <w:r w:rsidRPr="00FE73ED">
        <w:rPr>
          <w:i/>
        </w:rPr>
        <w:t>une annulation des examens et concours ? un report ? (à quelle date ; avec</w:t>
      </w:r>
      <w:r w:rsidR="007E563C" w:rsidRPr="00FE73ED">
        <w:rPr>
          <w:i/>
        </w:rPr>
        <w:t xml:space="preserve"> quelle doctrine sanitaire) ?</w:t>
      </w:r>
    </w:p>
    <w:p w:rsidR="006F14AE" w:rsidRPr="00FE73ED" w:rsidRDefault="006F14AE" w:rsidP="000D61D9">
      <w:pPr>
        <w:pStyle w:val="Paragraphedeliste"/>
        <w:numPr>
          <w:ilvl w:val="0"/>
          <w:numId w:val="2"/>
        </w:numPr>
        <w:spacing w:after="120" w:line="240" w:lineRule="auto"/>
        <w:contextualSpacing w:val="0"/>
        <w:jc w:val="both"/>
        <w:rPr>
          <w:b/>
          <w:i/>
        </w:rPr>
      </w:pPr>
      <w:r w:rsidRPr="00FE73ED">
        <w:rPr>
          <w:i/>
        </w:rPr>
        <w:t>un aménagement des épreuves ?</w:t>
      </w:r>
    </w:p>
    <w:p w:rsidR="00A1235A" w:rsidRPr="00FE73ED" w:rsidRDefault="00AC5E0B" w:rsidP="00FE73ED">
      <w:pPr>
        <w:pStyle w:val="Paragraphedeliste"/>
        <w:numPr>
          <w:ilvl w:val="0"/>
          <w:numId w:val="5"/>
        </w:numPr>
        <w:spacing w:after="120" w:line="240" w:lineRule="auto"/>
        <w:jc w:val="both"/>
        <w:rPr>
          <w:i/>
        </w:rPr>
      </w:pPr>
      <w:r w:rsidRPr="00FE73ED">
        <w:rPr>
          <w:i/>
        </w:rPr>
        <w:t>Réouverture des établissements d’enseignement supérieur et des organismes de recherche</w:t>
      </w:r>
    </w:p>
    <w:p w:rsidR="007F2AEA" w:rsidRPr="00FE73ED" w:rsidRDefault="007F2AEA" w:rsidP="000D61D9">
      <w:pPr>
        <w:pStyle w:val="Paragraphedeliste"/>
        <w:numPr>
          <w:ilvl w:val="0"/>
          <w:numId w:val="2"/>
        </w:numPr>
        <w:spacing w:after="120" w:line="240" w:lineRule="auto"/>
        <w:contextualSpacing w:val="0"/>
        <w:jc w:val="both"/>
        <w:rPr>
          <w:b/>
          <w:i/>
        </w:rPr>
      </w:pPr>
      <w:r w:rsidRPr="00FE73ED">
        <w:rPr>
          <w:i/>
        </w:rPr>
        <w:t>A partir de quand est prévue la réouverture ?</w:t>
      </w:r>
    </w:p>
    <w:p w:rsidR="007F2AEA" w:rsidRPr="00FE73ED" w:rsidRDefault="007F2AEA" w:rsidP="000D61D9">
      <w:pPr>
        <w:pStyle w:val="Paragraphedeliste"/>
        <w:numPr>
          <w:ilvl w:val="0"/>
          <w:numId w:val="2"/>
        </w:numPr>
        <w:spacing w:after="120" w:line="240" w:lineRule="auto"/>
        <w:contextualSpacing w:val="0"/>
        <w:jc w:val="both"/>
        <w:rPr>
          <w:b/>
          <w:i/>
        </w:rPr>
      </w:pPr>
      <w:r w:rsidRPr="00FE73ED">
        <w:rPr>
          <w:i/>
        </w:rPr>
        <w:t>Est-elle totale ou partielle (seulement pour certaines activités) ?</w:t>
      </w:r>
    </w:p>
    <w:p w:rsidR="007F2AEA" w:rsidRPr="00FE73ED" w:rsidRDefault="007F2AEA" w:rsidP="000D61D9">
      <w:pPr>
        <w:pStyle w:val="Paragraphedeliste"/>
        <w:numPr>
          <w:ilvl w:val="0"/>
          <w:numId w:val="2"/>
        </w:numPr>
        <w:spacing w:after="120" w:line="240" w:lineRule="auto"/>
        <w:contextualSpacing w:val="0"/>
        <w:jc w:val="both"/>
        <w:rPr>
          <w:b/>
          <w:i/>
        </w:rPr>
      </w:pPr>
      <w:r w:rsidRPr="00FE73ED">
        <w:rPr>
          <w:i/>
        </w:rPr>
        <w:t xml:space="preserve">Des consignes sanitaires particulières à ces activités </w:t>
      </w:r>
      <w:proofErr w:type="spellStart"/>
      <w:r w:rsidRPr="00FE73ED">
        <w:rPr>
          <w:i/>
        </w:rPr>
        <w:t>ont-elles</w:t>
      </w:r>
      <w:proofErr w:type="spellEnd"/>
      <w:r w:rsidRPr="00FE73ED">
        <w:rPr>
          <w:i/>
        </w:rPr>
        <w:t xml:space="preserve"> été établies ?</w:t>
      </w:r>
    </w:p>
    <w:p w:rsidR="00AB1D7E" w:rsidRPr="00FE73ED" w:rsidRDefault="007F2AEA" w:rsidP="00AB1D7E">
      <w:pPr>
        <w:pStyle w:val="Paragraphedeliste"/>
        <w:numPr>
          <w:ilvl w:val="0"/>
          <w:numId w:val="2"/>
        </w:numPr>
        <w:spacing w:after="120" w:line="240" w:lineRule="auto"/>
        <w:contextualSpacing w:val="0"/>
        <w:jc w:val="both"/>
        <w:rPr>
          <w:b/>
          <w:i/>
        </w:rPr>
      </w:pPr>
      <w:r w:rsidRPr="00FE73ED">
        <w:rPr>
          <w:i/>
        </w:rPr>
        <w:t>La rentrée 2020 est-elle retardée ?</w:t>
      </w:r>
    </w:p>
    <w:p w:rsidR="00B33E5D" w:rsidRDefault="00D95EB8" w:rsidP="003D6AC8">
      <w:pPr>
        <w:spacing w:after="120" w:line="240" w:lineRule="auto"/>
        <w:jc w:val="both"/>
      </w:pPr>
      <w:r w:rsidRPr="00C33220">
        <w:t>Des ré</w:t>
      </w:r>
      <w:r w:rsidR="00C33220">
        <w:t xml:space="preserve">ponses ont été fournies pour 40 </w:t>
      </w:r>
      <w:r w:rsidRPr="00C33220">
        <w:t>pays.</w:t>
      </w:r>
      <w:r w:rsidR="00527767">
        <w:t xml:space="preserve"> Elles ne peuvent être comparées sans avoir à l’esprit les grandes disparités d’organisation de</w:t>
      </w:r>
      <w:r w:rsidR="002936A8">
        <w:t>s systèmes d’</w:t>
      </w:r>
      <w:r w:rsidR="000A0A75">
        <w:t>enseignement supérieur</w:t>
      </w:r>
      <w:r w:rsidR="003D6AC8">
        <w:t>. En particulier</w:t>
      </w:r>
      <w:r w:rsidR="000A0A75">
        <w:t> :</w:t>
      </w:r>
    </w:p>
    <w:p w:rsidR="00B33E5D" w:rsidRDefault="000A0A75" w:rsidP="003D6AC8">
      <w:pPr>
        <w:pStyle w:val="Paragraphedeliste"/>
        <w:numPr>
          <w:ilvl w:val="0"/>
          <w:numId w:val="1"/>
        </w:numPr>
        <w:spacing w:after="120" w:line="240" w:lineRule="auto"/>
        <w:contextualSpacing w:val="0"/>
        <w:jc w:val="both"/>
      </w:pPr>
      <w:r>
        <w:t xml:space="preserve"> dans certains pays des décisions peuvent être prises de manière centralisée à l’échelle nationale, dans d’autres l’échelon décisionnaire se situe davantage au niveau des régions, provinces, </w:t>
      </w:r>
      <w:r w:rsidR="00D21010">
        <w:t>E</w:t>
      </w:r>
      <w:r>
        <w:t>tats, Länder, etc</w:t>
      </w:r>
      <w:r w:rsidR="00D21010">
        <w:t>.</w:t>
      </w:r>
      <w:r>
        <w:t> ; dans d’au</w:t>
      </w:r>
      <w:r w:rsidR="00D21010">
        <w:t>t</w:t>
      </w:r>
      <w:r>
        <w:t>res encore, l’essentiel des décisions sont pris</w:t>
      </w:r>
      <w:r w:rsidR="00B33E5D">
        <w:t>es au niveau des établissements</w:t>
      </w:r>
      <w:r w:rsidR="00D21010">
        <w:t> ;</w:t>
      </w:r>
    </w:p>
    <w:p w:rsidR="006B125A" w:rsidRDefault="00B33E5D" w:rsidP="003D6AC8">
      <w:pPr>
        <w:pStyle w:val="Paragraphedeliste"/>
        <w:numPr>
          <w:ilvl w:val="0"/>
          <w:numId w:val="1"/>
        </w:numPr>
        <w:spacing w:after="120" w:line="240" w:lineRule="auto"/>
        <w:contextualSpacing w:val="0"/>
        <w:jc w:val="both"/>
      </w:pPr>
      <w:r>
        <w:t>la variable économique a un poids très différent selon les pays</w:t>
      </w:r>
      <w:r w:rsidR="008F6C76">
        <w:t>, selon que les étudiants et en particulier les étudiants internationaux représentent une part importante des revenus des universités (cas notamment des pays anglo-saxons) ou que les études sont gratuites ou presque pour eux (cas notamment de l’Allemagne).</w:t>
      </w:r>
    </w:p>
    <w:p w:rsidR="00A7463F" w:rsidRDefault="00A7463F" w:rsidP="00A7463F">
      <w:pPr>
        <w:spacing w:after="120" w:line="240" w:lineRule="auto"/>
        <w:jc w:val="both"/>
      </w:pPr>
      <w:r>
        <w:t xml:space="preserve">Les situations évoluent par ailleurs rapidement </w:t>
      </w:r>
      <w:r w:rsidR="00F35B28">
        <w:t>et de manière très différenciée selon les zones.</w:t>
      </w:r>
    </w:p>
    <w:p w:rsidR="000A0A75" w:rsidRPr="00B829A5" w:rsidRDefault="00B829A5" w:rsidP="000A0A75">
      <w:pPr>
        <w:spacing w:after="120" w:line="240" w:lineRule="auto"/>
        <w:jc w:val="both"/>
        <w:rPr>
          <w:b/>
          <w:u w:val="single"/>
        </w:rPr>
      </w:pPr>
      <w:r w:rsidRPr="00B829A5">
        <w:rPr>
          <w:b/>
          <w:u w:val="single"/>
        </w:rPr>
        <w:lastRenderedPageBreak/>
        <w:t>Principales observations</w:t>
      </w:r>
    </w:p>
    <w:p w:rsidR="008D10FD" w:rsidRPr="00A7463F" w:rsidRDefault="00B33E5D" w:rsidP="00F80837">
      <w:pPr>
        <w:keepNext/>
        <w:spacing w:after="120" w:line="240" w:lineRule="auto"/>
        <w:jc w:val="both"/>
        <w:rPr>
          <w:b/>
        </w:rPr>
      </w:pPr>
      <w:r w:rsidRPr="00A7463F">
        <w:rPr>
          <w:b/>
        </w:rPr>
        <w:t>Gestion de la fin du s</w:t>
      </w:r>
      <w:r w:rsidR="008D10FD" w:rsidRPr="00A7463F">
        <w:rPr>
          <w:b/>
        </w:rPr>
        <w:t xml:space="preserve">emestre </w:t>
      </w:r>
      <w:r w:rsidRPr="00A7463F">
        <w:rPr>
          <w:b/>
        </w:rPr>
        <w:t xml:space="preserve">ou de l’année académique </w:t>
      </w:r>
      <w:r w:rsidR="008D10FD" w:rsidRPr="00A7463F">
        <w:rPr>
          <w:b/>
        </w:rPr>
        <w:t xml:space="preserve">en cours : </w:t>
      </w:r>
    </w:p>
    <w:p w:rsidR="00907D8E" w:rsidRDefault="000724B1" w:rsidP="00F80837">
      <w:pPr>
        <w:pStyle w:val="Paragraphedeliste"/>
        <w:keepNext/>
        <w:numPr>
          <w:ilvl w:val="1"/>
          <w:numId w:val="1"/>
        </w:numPr>
        <w:spacing w:after="120" w:line="240" w:lineRule="auto"/>
        <w:contextualSpacing w:val="0"/>
        <w:jc w:val="both"/>
      </w:pPr>
      <w:r>
        <w:t xml:space="preserve">Dans la </w:t>
      </w:r>
      <w:r w:rsidR="00485422">
        <w:t xml:space="preserve">grande </w:t>
      </w:r>
      <w:r>
        <w:t>majorité des pays</w:t>
      </w:r>
      <w:r w:rsidR="007F7636">
        <w:t xml:space="preserve"> </w:t>
      </w:r>
      <w:r w:rsidR="00485422">
        <w:t xml:space="preserve">consultés, les </w:t>
      </w:r>
      <w:r w:rsidR="007F7636">
        <w:t>universités sont fermées et les enseignements ont lieu principalement à distance</w:t>
      </w:r>
      <w:r w:rsidR="00392534">
        <w:t>.</w:t>
      </w:r>
    </w:p>
    <w:p w:rsidR="00907D8E" w:rsidRDefault="00392534" w:rsidP="00F80837">
      <w:pPr>
        <w:pStyle w:val="Paragraphedeliste"/>
        <w:keepNext/>
        <w:numPr>
          <w:ilvl w:val="1"/>
          <w:numId w:val="1"/>
        </w:numPr>
        <w:spacing w:after="120" w:line="240" w:lineRule="auto"/>
        <w:contextualSpacing w:val="0"/>
        <w:jc w:val="both"/>
      </w:pPr>
      <w:r>
        <w:t>Dans certains</w:t>
      </w:r>
      <w:r w:rsidR="00323605">
        <w:t xml:space="preserve"> </w:t>
      </w:r>
      <w:r w:rsidR="000724B1">
        <w:t>toutefois</w:t>
      </w:r>
      <w:r w:rsidR="00323605">
        <w:t>,</w:t>
      </w:r>
      <w:r w:rsidR="000724B1">
        <w:t xml:space="preserve"> </w:t>
      </w:r>
      <w:r>
        <w:t>les</w:t>
      </w:r>
      <w:r w:rsidR="000724B1">
        <w:t xml:space="preserve"> universités n’ont pas fermé (Pays-Bas</w:t>
      </w:r>
      <w:r w:rsidR="008E011E">
        <w:t>, Taiwan</w:t>
      </w:r>
      <w:r w:rsidR="00323605">
        <w:t>) ; dans d’autres,</w:t>
      </w:r>
      <w:r w:rsidR="000724B1">
        <w:t xml:space="preserve"> les</w:t>
      </w:r>
      <w:r>
        <w:t xml:space="preserve"> enseignements présentiels ont été autorisés à reprendre </w:t>
      </w:r>
      <w:r w:rsidR="00CF6951">
        <w:t xml:space="preserve">ou le seront </w:t>
      </w:r>
      <w:r w:rsidR="00323605">
        <w:t>courant</w:t>
      </w:r>
      <w:r w:rsidR="00CF6951">
        <w:t xml:space="preserve"> juin </w:t>
      </w:r>
      <w:r w:rsidR="000C13E6">
        <w:t>(</w:t>
      </w:r>
      <w:r w:rsidR="00DE7615">
        <w:t>e</w:t>
      </w:r>
      <w:r w:rsidR="00894E91">
        <w:t xml:space="preserve">n Europe : </w:t>
      </w:r>
      <w:r>
        <w:t>Danemark</w:t>
      </w:r>
      <w:r w:rsidR="00860389">
        <w:t>, Estonie</w:t>
      </w:r>
      <w:r w:rsidR="0026134B">
        <w:t>, Pologne</w:t>
      </w:r>
      <w:r w:rsidR="003D1702">
        <w:t xml:space="preserve">, </w:t>
      </w:r>
      <w:r w:rsidR="00F66A6A">
        <w:t>Portugal, République Tchèque</w:t>
      </w:r>
      <w:r w:rsidR="00CF6951">
        <w:t>, Suisse</w:t>
      </w:r>
      <w:r w:rsidR="00894E91">
        <w:t> ; en</w:t>
      </w:r>
      <w:r w:rsidR="000F0F72">
        <w:t xml:space="preserve"> Asie :</w:t>
      </w:r>
      <w:r w:rsidR="00894E91">
        <w:t xml:space="preserve"> Chine</w:t>
      </w:r>
      <w:r w:rsidR="000F0F72">
        <w:t>, Vietnam</w:t>
      </w:r>
      <w:r w:rsidR="000C13E6">
        <w:t>)</w:t>
      </w:r>
      <w:r w:rsidR="000724B1">
        <w:t>,</w:t>
      </w:r>
      <w:r w:rsidR="00644A5A">
        <w:t xml:space="preserve"> avec des contrôles plus ou moins stricts (en Chine : tests, quara</w:t>
      </w:r>
      <w:r w:rsidR="00907D8E">
        <w:t>ntaines, prises de température)</w:t>
      </w:r>
      <w:r w:rsidR="00DE7615">
        <w:t>.</w:t>
      </w:r>
    </w:p>
    <w:p w:rsidR="00907D8E" w:rsidRDefault="00907D8E" w:rsidP="00F80837">
      <w:pPr>
        <w:pStyle w:val="Paragraphedeliste"/>
        <w:keepNext/>
        <w:numPr>
          <w:ilvl w:val="1"/>
          <w:numId w:val="1"/>
        </w:numPr>
        <w:spacing w:after="120" w:line="240" w:lineRule="auto"/>
        <w:contextualSpacing w:val="0"/>
        <w:jc w:val="both"/>
      </w:pPr>
      <w:r>
        <w:t>La reprise en présentiel est</w:t>
      </w:r>
      <w:r w:rsidR="00077149">
        <w:t xml:space="preserve"> parfois</w:t>
      </w:r>
      <w:r>
        <w:t xml:space="preserve"> limitée</w:t>
      </w:r>
      <w:r w:rsidR="000C13E6">
        <w:t xml:space="preserve"> aux </w:t>
      </w:r>
      <w:r w:rsidR="000724B1">
        <w:t xml:space="preserve">enseignements ne pouvant </w:t>
      </w:r>
      <w:r w:rsidR="00077149">
        <w:t xml:space="preserve">intrinsèquement </w:t>
      </w:r>
      <w:r w:rsidR="000724B1">
        <w:t xml:space="preserve">être organisés à distance </w:t>
      </w:r>
      <w:r w:rsidR="000C13E6">
        <w:t xml:space="preserve">(notamment travaux pratiques) </w:t>
      </w:r>
      <w:r w:rsidR="00A80D33">
        <w:t xml:space="preserve">lorsqu’ils peuvent </w:t>
      </w:r>
      <w:r w:rsidR="000C13E6">
        <w:t>organisés</w:t>
      </w:r>
      <w:r w:rsidR="00386B4A">
        <w:t> dans des conditions</w:t>
      </w:r>
      <w:r w:rsidR="002E6720">
        <w:t xml:space="preserve"> de sécurité</w:t>
      </w:r>
      <w:r w:rsidR="007A1EE0">
        <w:t xml:space="preserve"> adaptées (</w:t>
      </w:r>
      <w:r w:rsidR="000C13E6">
        <w:t>Allemagne, Autriche, Croatie, Norvège</w:t>
      </w:r>
      <w:r w:rsidR="00DE7615">
        <w:t> </w:t>
      </w:r>
      <w:r w:rsidR="000C13E6">
        <w:t xml:space="preserve">; </w:t>
      </w:r>
      <w:r>
        <w:t>Singapour ; Israël</w:t>
      </w:r>
      <w:r w:rsidR="007A1EE0">
        <w:t>)</w:t>
      </w:r>
      <w:r w:rsidR="00DE7615">
        <w:t>.</w:t>
      </w:r>
    </w:p>
    <w:p w:rsidR="006D40E2" w:rsidRDefault="006D40E2" w:rsidP="00F80837">
      <w:pPr>
        <w:pStyle w:val="Paragraphedeliste"/>
        <w:keepNext/>
        <w:numPr>
          <w:ilvl w:val="1"/>
          <w:numId w:val="1"/>
        </w:numPr>
        <w:spacing w:after="120" w:line="240" w:lineRule="auto"/>
        <w:contextualSpacing w:val="0"/>
        <w:jc w:val="both"/>
      </w:pPr>
      <w:r>
        <w:t>Les enseignements à distance font</w:t>
      </w:r>
      <w:r w:rsidR="00C9208E">
        <w:t xml:space="preserve"> fréquemment</w:t>
      </w:r>
      <w:r>
        <w:t xml:space="preserve"> l’objet de critiques</w:t>
      </w:r>
      <w:r w:rsidR="00C9208E">
        <w:t xml:space="preserve"> de la part des étudiants,</w:t>
      </w:r>
      <w:r w:rsidR="00947919">
        <w:t xml:space="preserve"> y compris dans des pays où les conditions de connexion sont excellentes (Japon, Corée)</w:t>
      </w:r>
      <w:r w:rsidR="00DE7615">
        <w:t>.</w:t>
      </w:r>
      <w:r w:rsidR="00947919">
        <w:t xml:space="preserve"> </w:t>
      </w:r>
      <w:r w:rsidR="00DE7615">
        <w:t>L</w:t>
      </w:r>
      <w:r w:rsidR="00947919">
        <w:t>orsque</w:t>
      </w:r>
      <w:r>
        <w:t xml:space="preserve"> </w:t>
      </w:r>
      <w:r w:rsidR="00947919">
        <w:t>les conditions techniques d’accès sont inégales sont révélées et aggravées</w:t>
      </w:r>
      <w:r>
        <w:t xml:space="preserve"> des inégalités</w:t>
      </w:r>
      <w:r w:rsidR="00867EA8">
        <w:t xml:space="preserve"> sociales et / ou territoriales </w:t>
      </w:r>
      <w:r>
        <w:t>(Espagne)</w:t>
      </w:r>
      <w:r w:rsidR="00BD0F45">
        <w:t xml:space="preserve">. </w:t>
      </w:r>
      <w:r w:rsidR="002E0CA4">
        <w:t xml:space="preserve">Les critiques sont particulièrement fortes dans les  </w:t>
      </w:r>
      <w:r w:rsidR="00BD0F45">
        <w:t xml:space="preserve">pays appliquant des frais d’études élevés </w:t>
      </w:r>
      <w:r w:rsidR="00660815">
        <w:t>et vont jusqu’</w:t>
      </w:r>
      <w:r w:rsidR="00BD0F45">
        <w:t>à des revendications de remboursement p</w:t>
      </w:r>
      <w:r w:rsidR="005F7425">
        <w:t>artiel de la part des étudiants (Royaume-Uni, où un refus a déjà été opposé ; Etats-Unis)</w:t>
      </w:r>
      <w:r w:rsidR="00C2376E">
        <w:t>.</w:t>
      </w:r>
    </w:p>
    <w:p w:rsidR="004066FB" w:rsidRDefault="00ED3D51" w:rsidP="00F80837">
      <w:pPr>
        <w:pStyle w:val="Paragraphedeliste"/>
        <w:keepNext/>
        <w:numPr>
          <w:ilvl w:val="1"/>
          <w:numId w:val="1"/>
        </w:numPr>
        <w:spacing w:after="120" w:line="240" w:lineRule="auto"/>
        <w:contextualSpacing w:val="0"/>
        <w:jc w:val="both"/>
      </w:pPr>
      <w:r>
        <w:t>Des prolongations du semestre sur la période de l’été voire jusqu’en septembre ont été décidées dans certains pays pour permettre de terminer les programmes d’ens</w:t>
      </w:r>
      <w:r w:rsidR="000A5FEF">
        <w:t>eignement de l’année en cours (</w:t>
      </w:r>
      <w:r>
        <w:t xml:space="preserve">Autriche, </w:t>
      </w:r>
      <w:r w:rsidR="00C37DC1">
        <w:t>Belgique, Bulgarie</w:t>
      </w:r>
      <w:r w:rsidR="000A5FEF">
        <w:t>)</w:t>
      </w:r>
      <w:r w:rsidR="00C2376E">
        <w:t>.</w:t>
      </w:r>
    </w:p>
    <w:p w:rsidR="00A8371E" w:rsidRDefault="002A1908" w:rsidP="00F80837">
      <w:pPr>
        <w:pStyle w:val="Paragraphedeliste"/>
        <w:keepNext/>
        <w:numPr>
          <w:ilvl w:val="1"/>
          <w:numId w:val="1"/>
        </w:numPr>
        <w:spacing w:after="120" w:line="240" w:lineRule="auto"/>
        <w:contextualSpacing w:val="0"/>
        <w:jc w:val="both"/>
      </w:pPr>
      <w:r>
        <w:t>Les programmes de mobilité sont en général suspendus</w:t>
      </w:r>
      <w:r w:rsidR="00C2376E">
        <w:t> ;</w:t>
      </w:r>
      <w:r>
        <w:t xml:space="preserve"> </w:t>
      </w:r>
      <w:r w:rsidR="00F20316">
        <w:t>dans certains cas</w:t>
      </w:r>
      <w:r>
        <w:t xml:space="preserve"> leurs financements</w:t>
      </w:r>
      <w:r w:rsidR="00F20316">
        <w:t xml:space="preserve"> </w:t>
      </w:r>
      <w:r w:rsidR="00C2376E">
        <w:t xml:space="preserve">le </w:t>
      </w:r>
      <w:r w:rsidR="00F20316">
        <w:t xml:space="preserve">sont </w:t>
      </w:r>
      <w:r w:rsidR="00C2376E">
        <w:t xml:space="preserve">également </w:t>
      </w:r>
      <w:r>
        <w:t>(Allemagne, Espagne</w:t>
      </w:r>
      <w:r w:rsidR="00545496">
        <w:t>, Estonie</w:t>
      </w:r>
      <w:r>
        <w:t>)</w:t>
      </w:r>
      <w:r w:rsidR="00F20316">
        <w:t xml:space="preserve">, dans d’autres </w:t>
      </w:r>
      <w:r w:rsidR="00C2376E">
        <w:t xml:space="preserve">ils sont au contraire </w:t>
      </w:r>
      <w:r w:rsidR="00F20316">
        <w:t>maintenus (Norvège)</w:t>
      </w:r>
      <w:r w:rsidR="00AF0BA7">
        <w:t xml:space="preserve">. </w:t>
      </w:r>
    </w:p>
    <w:p w:rsidR="007A1EE0" w:rsidRDefault="007A1EE0" w:rsidP="00F80837">
      <w:pPr>
        <w:pStyle w:val="Paragraphedeliste"/>
        <w:keepNext/>
        <w:numPr>
          <w:ilvl w:val="1"/>
          <w:numId w:val="1"/>
        </w:numPr>
        <w:spacing w:after="120" w:line="240" w:lineRule="auto"/>
        <w:contextualSpacing w:val="0"/>
        <w:jc w:val="both"/>
      </w:pPr>
      <w:r>
        <w:t>Certains pays sont fermés aux étudiants français ou européens (Japon), d’autres, dont les frontières sont globalement restées ouvertes, leur appliquent des restrictions d’accès dans le cadre de mesures de réciprocité (Corée du Sud).</w:t>
      </w:r>
    </w:p>
    <w:p w:rsidR="001E2BC8" w:rsidRPr="007A1EE0" w:rsidRDefault="007A1EE0" w:rsidP="007A1EE0">
      <w:pPr>
        <w:spacing w:after="120" w:line="240" w:lineRule="auto"/>
        <w:jc w:val="both"/>
        <w:rPr>
          <w:b/>
        </w:rPr>
      </w:pPr>
      <w:r>
        <w:rPr>
          <w:b/>
        </w:rPr>
        <w:t>Projections pour la r</w:t>
      </w:r>
      <w:r w:rsidR="001E2BC8" w:rsidRPr="007A1EE0">
        <w:rPr>
          <w:b/>
        </w:rPr>
        <w:t>entrée</w:t>
      </w:r>
      <w:r>
        <w:rPr>
          <w:b/>
        </w:rPr>
        <w:t xml:space="preserve"> à</w:t>
      </w:r>
      <w:r w:rsidR="0083629F" w:rsidRPr="007A1EE0">
        <w:rPr>
          <w:b/>
        </w:rPr>
        <w:t xml:space="preserve"> l’automne</w:t>
      </w:r>
      <w:r w:rsidR="001E2BC8" w:rsidRPr="007A1EE0">
        <w:rPr>
          <w:b/>
        </w:rPr>
        <w:t> :</w:t>
      </w:r>
    </w:p>
    <w:p w:rsidR="009909E6" w:rsidRDefault="00C2376E" w:rsidP="009909E6">
      <w:pPr>
        <w:pStyle w:val="Paragraphedeliste"/>
        <w:numPr>
          <w:ilvl w:val="1"/>
          <w:numId w:val="1"/>
        </w:numPr>
        <w:spacing w:after="120" w:line="240" w:lineRule="auto"/>
        <w:contextualSpacing w:val="0"/>
        <w:jc w:val="both"/>
      </w:pPr>
      <w:r>
        <w:t xml:space="preserve">Dans les cas où la date de rentrée a été maintenue, ont été </w:t>
      </w:r>
      <w:r w:rsidR="003656DB">
        <w:t>mise</w:t>
      </w:r>
      <w:r>
        <w:t>s</w:t>
      </w:r>
      <w:r w:rsidR="003656DB">
        <w:t xml:space="preserve"> en place de</w:t>
      </w:r>
      <w:r>
        <w:t>s</w:t>
      </w:r>
      <w:r w:rsidR="003656DB">
        <w:t xml:space="preserve"> capacités pour pouvoir doser les </w:t>
      </w:r>
      <w:r w:rsidR="00B22888">
        <w:t>enseignements présentiels et à distance</w:t>
      </w:r>
      <w:r w:rsidR="003656DB">
        <w:t xml:space="preserve"> en fonction de l’évolution de la situation sanitaire</w:t>
      </w:r>
      <w:r w:rsidR="006B4FC1">
        <w:t> (</w:t>
      </w:r>
      <w:r w:rsidR="001E2BC8">
        <w:t>Espagne</w:t>
      </w:r>
      <w:r w:rsidR="006B4FC1">
        <w:t xml:space="preserve"> : </w:t>
      </w:r>
      <w:r w:rsidR="005F3336">
        <w:t>cible de 30% d’étudiants en présentiel</w:t>
      </w:r>
      <w:r>
        <w:t> ;</w:t>
      </w:r>
      <w:r w:rsidR="00B22888">
        <w:t xml:space="preserve"> </w:t>
      </w:r>
      <w:r w:rsidR="00FD0E5F">
        <w:t>Italie</w:t>
      </w:r>
      <w:r w:rsidR="003656DB">
        <w:t xml:space="preserve">, </w:t>
      </w:r>
      <w:r w:rsidR="00D23445">
        <w:t>Luxembourg</w:t>
      </w:r>
      <w:r w:rsidR="00E2136E">
        <w:t xml:space="preserve"> ; </w:t>
      </w:r>
      <w:r>
        <w:t xml:space="preserve">Etats-Unis, pour </w:t>
      </w:r>
      <w:r w:rsidR="00E2136E">
        <w:t>certaines universités</w:t>
      </w:r>
      <w:bookmarkStart w:id="0" w:name="_GoBack"/>
      <w:bookmarkEnd w:id="0"/>
      <w:r>
        <w:t> </w:t>
      </w:r>
      <w:r w:rsidR="00D23445">
        <w:t>; la Norvège a déjà annoncé une rentrée principalement virtuelle</w:t>
      </w:r>
      <w:r w:rsidR="00A75824">
        <w:t> </w:t>
      </w:r>
      <w:r>
        <w:t>; e</w:t>
      </w:r>
      <w:r w:rsidR="00DB5576">
        <w:t xml:space="preserve">n Chine, la rentrée est à ce stade prévue le </w:t>
      </w:r>
      <w:r w:rsidR="006B4FC1">
        <w:t>31 août pour tous les étudiants).</w:t>
      </w:r>
    </w:p>
    <w:p w:rsidR="009909E6" w:rsidRDefault="009909E6" w:rsidP="009909E6">
      <w:pPr>
        <w:pStyle w:val="Paragraphedeliste"/>
        <w:numPr>
          <w:ilvl w:val="1"/>
          <w:numId w:val="1"/>
        </w:numPr>
        <w:spacing w:after="120" w:line="240" w:lineRule="auto"/>
        <w:contextualSpacing w:val="0"/>
        <w:jc w:val="both"/>
      </w:pPr>
      <w:r>
        <w:rPr>
          <w:rFonts w:eastAsia="Times New Roman" w:cstheme="minorHAnsi"/>
          <w:lang w:eastAsia="fr-FR"/>
        </w:rPr>
        <w:t xml:space="preserve">Au Royaume-Uni, </w:t>
      </w:r>
      <w:r w:rsidR="00A75824">
        <w:rPr>
          <w:rFonts w:eastAsia="Times New Roman" w:cstheme="minorHAnsi"/>
          <w:lang w:eastAsia="fr-FR"/>
        </w:rPr>
        <w:t>c</w:t>
      </w:r>
      <w:r w:rsidRPr="009909E6">
        <w:rPr>
          <w:rFonts w:eastAsia="Times New Roman" w:cstheme="minorHAnsi"/>
          <w:lang w:eastAsia="fr-FR"/>
        </w:rPr>
        <w:t>ertaines universités</w:t>
      </w:r>
      <w:r>
        <w:rPr>
          <w:rFonts w:eastAsia="Times New Roman" w:cstheme="minorHAnsi"/>
          <w:lang w:eastAsia="fr-FR"/>
        </w:rPr>
        <w:t xml:space="preserve"> envisagent</w:t>
      </w:r>
      <w:r w:rsidRPr="009909E6">
        <w:rPr>
          <w:rFonts w:eastAsia="Times New Roman" w:cstheme="minorHAnsi"/>
          <w:lang w:eastAsia="fr-FR"/>
        </w:rPr>
        <w:t>, si l’accès aux campus est possible, de le réserver</w:t>
      </w:r>
      <w:r>
        <w:rPr>
          <w:rFonts w:eastAsia="Times New Roman" w:cstheme="minorHAnsi"/>
          <w:lang w:eastAsia="fr-FR"/>
        </w:rPr>
        <w:t xml:space="preserve"> en priorité</w:t>
      </w:r>
      <w:r w:rsidRPr="009909E6">
        <w:rPr>
          <w:rFonts w:eastAsia="Times New Roman" w:cstheme="minorHAnsi"/>
          <w:lang w:eastAsia="fr-FR"/>
        </w:rPr>
        <w:t xml:space="preserve"> aux nouveaux étudiants (1</w:t>
      </w:r>
      <w:r w:rsidRPr="009909E6">
        <w:rPr>
          <w:rFonts w:eastAsia="Times New Roman" w:cstheme="minorHAnsi"/>
          <w:vertAlign w:val="superscript"/>
          <w:lang w:eastAsia="fr-FR"/>
        </w:rPr>
        <w:t>ère</w:t>
      </w:r>
      <w:r w:rsidRPr="009909E6">
        <w:rPr>
          <w:rFonts w:eastAsia="Times New Roman" w:cstheme="minorHAnsi"/>
          <w:lang w:eastAsia="fr-FR"/>
        </w:rPr>
        <w:t xml:space="preserve"> année de licence, étudiants de Master, 1</w:t>
      </w:r>
      <w:r w:rsidRPr="009909E6">
        <w:rPr>
          <w:rFonts w:eastAsia="Times New Roman" w:cstheme="minorHAnsi"/>
          <w:vertAlign w:val="superscript"/>
          <w:lang w:eastAsia="fr-FR"/>
        </w:rPr>
        <w:t>ère</w:t>
      </w:r>
      <w:r w:rsidRPr="009909E6">
        <w:rPr>
          <w:rFonts w:eastAsia="Times New Roman" w:cstheme="minorHAnsi"/>
          <w:lang w:eastAsia="fr-FR"/>
        </w:rPr>
        <w:t xml:space="preserve"> année de doctorat), plus susceptibles que les autres de se décourager face à la perspective d’une rentrée uniquement en ligne.</w:t>
      </w:r>
    </w:p>
    <w:p w:rsidR="00FD0E5F" w:rsidRDefault="00A75824" w:rsidP="00B072D9">
      <w:pPr>
        <w:pStyle w:val="Paragraphedeliste"/>
        <w:numPr>
          <w:ilvl w:val="1"/>
          <w:numId w:val="1"/>
        </w:numPr>
        <w:spacing w:after="120" w:line="240" w:lineRule="auto"/>
        <w:contextualSpacing w:val="0"/>
        <w:jc w:val="both"/>
      </w:pPr>
      <w:r>
        <w:t>La d</w:t>
      </w:r>
      <w:r w:rsidR="001E2BC8">
        <w:t xml:space="preserve">ate de rentrée du « semestre d’hiver » </w:t>
      </w:r>
      <w:r>
        <w:t xml:space="preserve">a été </w:t>
      </w:r>
      <w:r w:rsidR="001E2BC8">
        <w:t>repoussée en Allemagne (1</w:t>
      </w:r>
      <w:r w:rsidR="001E2BC8" w:rsidRPr="00FD0E5F">
        <w:rPr>
          <w:vertAlign w:val="superscript"/>
        </w:rPr>
        <w:t>er</w:t>
      </w:r>
      <w:r w:rsidR="001E2BC8">
        <w:t xml:space="preserve"> novembre au lieu de mi-octobre »)</w:t>
      </w:r>
      <w:r w:rsidR="005F3336">
        <w:t xml:space="preserve">. </w:t>
      </w:r>
      <w:r w:rsidR="00E2136E">
        <w:t xml:space="preserve"> Aux Etats-Unis, certaines universités envisagent </w:t>
      </w:r>
      <w:r w:rsidR="00CA0B0E">
        <w:t>un report d’un à deux mois de la rentrée, voire une compression des deux semestres de l’année 2020-2021 sur l’année civile 2021.</w:t>
      </w:r>
      <w:r w:rsidR="003A6E31">
        <w:t xml:space="preserve"> Les inscriptions d’étudiants admis peuvent être différées d’un semestre.</w:t>
      </w:r>
    </w:p>
    <w:p w:rsidR="005F3336" w:rsidRDefault="004C5488" w:rsidP="00B072D9">
      <w:pPr>
        <w:pStyle w:val="Paragraphedeliste"/>
        <w:numPr>
          <w:ilvl w:val="1"/>
          <w:numId w:val="1"/>
        </w:numPr>
        <w:spacing w:after="120" w:line="240" w:lineRule="auto"/>
        <w:contextualSpacing w:val="0"/>
        <w:jc w:val="both"/>
      </w:pPr>
      <w:r>
        <w:lastRenderedPageBreak/>
        <w:t>De nombreux pays anticipent une baisse de leur recrutement international et en particulier</w:t>
      </w:r>
      <w:r w:rsidR="00805054">
        <w:t>, pour les pays européens, du recrutement</w:t>
      </w:r>
      <w:r>
        <w:t xml:space="preserve"> extracommunautaire (baisse de 80% anticipée pour l’Irlande), avec un impact financier important pour les pays leur appliquant des droits différenciés élevés (Irlande</w:t>
      </w:r>
      <w:r w:rsidR="001C2D0F">
        <w:t>, Royaume-Uni</w:t>
      </w:r>
      <w:r w:rsidR="00FD0E5F">
        <w:t>)</w:t>
      </w:r>
      <w:r w:rsidR="00805054">
        <w:t xml:space="preserve">. </w:t>
      </w:r>
    </w:p>
    <w:p w:rsidR="001E2BC8" w:rsidRDefault="0039284B" w:rsidP="0039284B">
      <w:pPr>
        <w:pStyle w:val="Paragraphedeliste"/>
        <w:numPr>
          <w:ilvl w:val="1"/>
          <w:numId w:val="1"/>
        </w:numPr>
        <w:spacing w:after="120" w:line="240" w:lineRule="auto"/>
        <w:contextualSpacing w:val="0"/>
        <w:jc w:val="both"/>
      </w:pPr>
      <w:r>
        <w:t>Certains pays affichent explicitement des objectifs de reprise de</w:t>
      </w:r>
      <w:r w:rsidR="006B4FC1">
        <w:t xml:space="preserve"> la mobilité à l</w:t>
      </w:r>
      <w:r>
        <w:t>’automne</w:t>
      </w:r>
      <w:r w:rsidR="00EE03FE">
        <w:t xml:space="preserve"> (Allemagne)</w:t>
      </w:r>
      <w:r w:rsidR="00A75824">
        <w:t xml:space="preserve">. On constate toutefois des </w:t>
      </w:r>
      <w:r>
        <w:t xml:space="preserve">contradictions entre des mots </w:t>
      </w:r>
      <w:r w:rsidR="00FD0E5F">
        <w:t>d’ordre</w:t>
      </w:r>
      <w:r>
        <w:t xml:space="preserve"> nationaux de </w:t>
      </w:r>
      <w:r w:rsidR="00FD0E5F">
        <w:t xml:space="preserve">poursuite de l’effort de recrutement d’étudiants étrangers </w:t>
      </w:r>
      <w:r>
        <w:t>et des politiques plus prudentes</w:t>
      </w:r>
      <w:r w:rsidR="00FD0E5F">
        <w:t xml:space="preserve"> </w:t>
      </w:r>
      <w:r>
        <w:t>d’</w:t>
      </w:r>
      <w:r w:rsidR="00FD0E5F">
        <w:t xml:space="preserve">universités </w:t>
      </w:r>
      <w:r>
        <w:t>indiquant déjà</w:t>
      </w:r>
      <w:r w:rsidR="00FD0E5F">
        <w:t xml:space="preserve"> leur intention de ne pas accueillir d’ét</w:t>
      </w:r>
      <w:r w:rsidR="00D42727">
        <w:t>udiants en mobilité à l’automne (Italie).</w:t>
      </w:r>
    </w:p>
    <w:sectPr w:rsidR="001E2BC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DD4" w:rsidRDefault="00A33DD4" w:rsidP="00F958B7">
      <w:pPr>
        <w:spacing w:after="0" w:line="240" w:lineRule="auto"/>
      </w:pPr>
      <w:r>
        <w:separator/>
      </w:r>
    </w:p>
  </w:endnote>
  <w:endnote w:type="continuationSeparator" w:id="0">
    <w:p w:rsidR="00A33DD4" w:rsidRDefault="00A33DD4" w:rsidP="00F95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DD4" w:rsidRDefault="00A33DD4" w:rsidP="00F958B7">
      <w:pPr>
        <w:spacing w:after="0" w:line="240" w:lineRule="auto"/>
      </w:pPr>
      <w:r>
        <w:separator/>
      </w:r>
    </w:p>
  </w:footnote>
  <w:footnote w:type="continuationSeparator" w:id="0">
    <w:p w:rsidR="00A33DD4" w:rsidRDefault="00A33DD4" w:rsidP="00F958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B7" w:rsidRDefault="00F958B7">
    <w:pPr>
      <w:pStyle w:val="En-tte"/>
    </w:pPr>
    <w:r>
      <w:t>DGESIP-DGRI/DAEI/B3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1EA"/>
    <w:multiLevelType w:val="hybridMultilevel"/>
    <w:tmpl w:val="D3E800DC"/>
    <w:lvl w:ilvl="0" w:tplc="49C0E214">
      <w:start w:val="2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0204E1D"/>
    <w:multiLevelType w:val="hybridMultilevel"/>
    <w:tmpl w:val="069CEA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62BD2824"/>
    <w:multiLevelType w:val="hybridMultilevel"/>
    <w:tmpl w:val="34DC43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717B5097"/>
    <w:multiLevelType w:val="hybridMultilevel"/>
    <w:tmpl w:val="C32639E2"/>
    <w:lvl w:ilvl="0" w:tplc="95D6D9A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6206EF7"/>
    <w:multiLevelType w:val="hybridMultilevel"/>
    <w:tmpl w:val="B71C20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D99"/>
    <w:rsid w:val="000424B4"/>
    <w:rsid w:val="00056103"/>
    <w:rsid w:val="000724B1"/>
    <w:rsid w:val="00077149"/>
    <w:rsid w:val="0009235C"/>
    <w:rsid w:val="000A0A75"/>
    <w:rsid w:val="000A5FEF"/>
    <w:rsid w:val="000C13E6"/>
    <w:rsid w:val="000D61D9"/>
    <w:rsid w:val="000F0F72"/>
    <w:rsid w:val="00157509"/>
    <w:rsid w:val="00196460"/>
    <w:rsid w:val="001B09DE"/>
    <w:rsid w:val="001B0B0D"/>
    <w:rsid w:val="001C2D0F"/>
    <w:rsid w:val="001E2BC8"/>
    <w:rsid w:val="001F6F2B"/>
    <w:rsid w:val="0026134B"/>
    <w:rsid w:val="002936A8"/>
    <w:rsid w:val="002A1908"/>
    <w:rsid w:val="002E0CA4"/>
    <w:rsid w:val="002E6720"/>
    <w:rsid w:val="002F71E3"/>
    <w:rsid w:val="00323605"/>
    <w:rsid w:val="003656DB"/>
    <w:rsid w:val="00386B4A"/>
    <w:rsid w:val="00392534"/>
    <w:rsid w:val="0039284B"/>
    <w:rsid w:val="003A6E31"/>
    <w:rsid w:val="003D1702"/>
    <w:rsid w:val="003D6AC8"/>
    <w:rsid w:val="004066FB"/>
    <w:rsid w:val="00485422"/>
    <w:rsid w:val="004C5488"/>
    <w:rsid w:val="004D664C"/>
    <w:rsid w:val="004D766C"/>
    <w:rsid w:val="004F65D9"/>
    <w:rsid w:val="00525554"/>
    <w:rsid w:val="00527767"/>
    <w:rsid w:val="005318E4"/>
    <w:rsid w:val="00545496"/>
    <w:rsid w:val="00553E2D"/>
    <w:rsid w:val="00583646"/>
    <w:rsid w:val="005F3336"/>
    <w:rsid w:val="005F7425"/>
    <w:rsid w:val="00644A5A"/>
    <w:rsid w:val="00660815"/>
    <w:rsid w:val="00671067"/>
    <w:rsid w:val="006A185F"/>
    <w:rsid w:val="006B125A"/>
    <w:rsid w:val="006B4FC1"/>
    <w:rsid w:val="006B79FD"/>
    <w:rsid w:val="006D40E2"/>
    <w:rsid w:val="006F14AE"/>
    <w:rsid w:val="007517DF"/>
    <w:rsid w:val="007A1EE0"/>
    <w:rsid w:val="007E563C"/>
    <w:rsid w:val="007F2AEA"/>
    <w:rsid w:val="007F7636"/>
    <w:rsid w:val="00805054"/>
    <w:rsid w:val="00810EE6"/>
    <w:rsid w:val="0083629F"/>
    <w:rsid w:val="00837966"/>
    <w:rsid w:val="008560DD"/>
    <w:rsid w:val="00860389"/>
    <w:rsid w:val="00866CBA"/>
    <w:rsid w:val="00867EA8"/>
    <w:rsid w:val="00893F50"/>
    <w:rsid w:val="00894E91"/>
    <w:rsid w:val="008B3ED7"/>
    <w:rsid w:val="008D10FD"/>
    <w:rsid w:val="008E011E"/>
    <w:rsid w:val="008F6C76"/>
    <w:rsid w:val="00907D8E"/>
    <w:rsid w:val="00947919"/>
    <w:rsid w:val="0095610F"/>
    <w:rsid w:val="0096387A"/>
    <w:rsid w:val="009909E6"/>
    <w:rsid w:val="009A63CF"/>
    <w:rsid w:val="009B6297"/>
    <w:rsid w:val="009D1551"/>
    <w:rsid w:val="00A1235A"/>
    <w:rsid w:val="00A33DD4"/>
    <w:rsid w:val="00A7463F"/>
    <w:rsid w:val="00A75824"/>
    <w:rsid w:val="00A80D33"/>
    <w:rsid w:val="00A8371E"/>
    <w:rsid w:val="00A95D99"/>
    <w:rsid w:val="00AB1D7E"/>
    <w:rsid w:val="00AC5E0B"/>
    <w:rsid w:val="00AE4A23"/>
    <w:rsid w:val="00AF0BA7"/>
    <w:rsid w:val="00B072D9"/>
    <w:rsid w:val="00B22888"/>
    <w:rsid w:val="00B33E5D"/>
    <w:rsid w:val="00B470B7"/>
    <w:rsid w:val="00B829A5"/>
    <w:rsid w:val="00B849BE"/>
    <w:rsid w:val="00BA1036"/>
    <w:rsid w:val="00BD0F45"/>
    <w:rsid w:val="00C2376E"/>
    <w:rsid w:val="00C33220"/>
    <w:rsid w:val="00C37DC1"/>
    <w:rsid w:val="00C9208E"/>
    <w:rsid w:val="00CA0B0E"/>
    <w:rsid w:val="00CA7854"/>
    <w:rsid w:val="00CF6951"/>
    <w:rsid w:val="00D21010"/>
    <w:rsid w:val="00D23445"/>
    <w:rsid w:val="00D42727"/>
    <w:rsid w:val="00D455BA"/>
    <w:rsid w:val="00D95EB8"/>
    <w:rsid w:val="00DB5576"/>
    <w:rsid w:val="00DE7615"/>
    <w:rsid w:val="00E2136E"/>
    <w:rsid w:val="00EA05E6"/>
    <w:rsid w:val="00EA25B9"/>
    <w:rsid w:val="00ED3D51"/>
    <w:rsid w:val="00EE03FE"/>
    <w:rsid w:val="00F20316"/>
    <w:rsid w:val="00F35B28"/>
    <w:rsid w:val="00F44ADC"/>
    <w:rsid w:val="00F66A6A"/>
    <w:rsid w:val="00F80837"/>
    <w:rsid w:val="00F86C11"/>
    <w:rsid w:val="00F958B7"/>
    <w:rsid w:val="00FD0E5F"/>
    <w:rsid w:val="00FE73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5554"/>
    <w:pPr>
      <w:ind w:left="720"/>
      <w:contextualSpacing/>
    </w:pPr>
  </w:style>
  <w:style w:type="paragraph" w:styleId="En-tte">
    <w:name w:val="header"/>
    <w:basedOn w:val="Normal"/>
    <w:link w:val="En-tteCar"/>
    <w:uiPriority w:val="99"/>
    <w:unhideWhenUsed/>
    <w:rsid w:val="00F958B7"/>
    <w:pPr>
      <w:tabs>
        <w:tab w:val="center" w:pos="4536"/>
        <w:tab w:val="right" w:pos="9072"/>
      </w:tabs>
      <w:spacing w:after="0" w:line="240" w:lineRule="auto"/>
    </w:pPr>
  </w:style>
  <w:style w:type="character" w:customStyle="1" w:styleId="En-tteCar">
    <w:name w:val="En-tête Car"/>
    <w:basedOn w:val="Policepardfaut"/>
    <w:link w:val="En-tte"/>
    <w:uiPriority w:val="99"/>
    <w:rsid w:val="00F958B7"/>
  </w:style>
  <w:style w:type="paragraph" w:styleId="Pieddepage">
    <w:name w:val="footer"/>
    <w:basedOn w:val="Normal"/>
    <w:link w:val="PieddepageCar"/>
    <w:uiPriority w:val="99"/>
    <w:unhideWhenUsed/>
    <w:rsid w:val="00F958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58B7"/>
  </w:style>
  <w:style w:type="character" w:styleId="Marquedecommentaire">
    <w:name w:val="annotation reference"/>
    <w:basedOn w:val="Policepardfaut"/>
    <w:uiPriority w:val="99"/>
    <w:semiHidden/>
    <w:unhideWhenUsed/>
    <w:rsid w:val="00D21010"/>
    <w:rPr>
      <w:sz w:val="16"/>
      <w:szCs w:val="16"/>
    </w:rPr>
  </w:style>
  <w:style w:type="paragraph" w:styleId="Commentaire">
    <w:name w:val="annotation text"/>
    <w:basedOn w:val="Normal"/>
    <w:link w:val="CommentaireCar"/>
    <w:uiPriority w:val="99"/>
    <w:semiHidden/>
    <w:unhideWhenUsed/>
    <w:rsid w:val="00D21010"/>
    <w:pPr>
      <w:spacing w:line="240" w:lineRule="auto"/>
    </w:pPr>
    <w:rPr>
      <w:sz w:val="20"/>
      <w:szCs w:val="20"/>
    </w:rPr>
  </w:style>
  <w:style w:type="character" w:customStyle="1" w:styleId="CommentaireCar">
    <w:name w:val="Commentaire Car"/>
    <w:basedOn w:val="Policepardfaut"/>
    <w:link w:val="Commentaire"/>
    <w:uiPriority w:val="99"/>
    <w:semiHidden/>
    <w:rsid w:val="00D21010"/>
    <w:rPr>
      <w:sz w:val="20"/>
      <w:szCs w:val="20"/>
    </w:rPr>
  </w:style>
  <w:style w:type="paragraph" w:styleId="Objetducommentaire">
    <w:name w:val="annotation subject"/>
    <w:basedOn w:val="Commentaire"/>
    <w:next w:val="Commentaire"/>
    <w:link w:val="ObjetducommentaireCar"/>
    <w:uiPriority w:val="99"/>
    <w:semiHidden/>
    <w:unhideWhenUsed/>
    <w:rsid w:val="00D21010"/>
    <w:rPr>
      <w:b/>
      <w:bCs/>
    </w:rPr>
  </w:style>
  <w:style w:type="character" w:customStyle="1" w:styleId="ObjetducommentaireCar">
    <w:name w:val="Objet du commentaire Car"/>
    <w:basedOn w:val="CommentaireCar"/>
    <w:link w:val="Objetducommentaire"/>
    <w:uiPriority w:val="99"/>
    <w:semiHidden/>
    <w:rsid w:val="00D21010"/>
    <w:rPr>
      <w:b/>
      <w:bCs/>
      <w:sz w:val="20"/>
      <w:szCs w:val="20"/>
    </w:rPr>
  </w:style>
  <w:style w:type="paragraph" w:styleId="Textedebulles">
    <w:name w:val="Balloon Text"/>
    <w:basedOn w:val="Normal"/>
    <w:link w:val="TextedebullesCar"/>
    <w:uiPriority w:val="99"/>
    <w:semiHidden/>
    <w:unhideWhenUsed/>
    <w:rsid w:val="00D210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10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5554"/>
    <w:pPr>
      <w:ind w:left="720"/>
      <w:contextualSpacing/>
    </w:pPr>
  </w:style>
  <w:style w:type="paragraph" w:styleId="En-tte">
    <w:name w:val="header"/>
    <w:basedOn w:val="Normal"/>
    <w:link w:val="En-tteCar"/>
    <w:uiPriority w:val="99"/>
    <w:unhideWhenUsed/>
    <w:rsid w:val="00F958B7"/>
    <w:pPr>
      <w:tabs>
        <w:tab w:val="center" w:pos="4536"/>
        <w:tab w:val="right" w:pos="9072"/>
      </w:tabs>
      <w:spacing w:after="0" w:line="240" w:lineRule="auto"/>
    </w:pPr>
  </w:style>
  <w:style w:type="character" w:customStyle="1" w:styleId="En-tteCar">
    <w:name w:val="En-tête Car"/>
    <w:basedOn w:val="Policepardfaut"/>
    <w:link w:val="En-tte"/>
    <w:uiPriority w:val="99"/>
    <w:rsid w:val="00F958B7"/>
  </w:style>
  <w:style w:type="paragraph" w:styleId="Pieddepage">
    <w:name w:val="footer"/>
    <w:basedOn w:val="Normal"/>
    <w:link w:val="PieddepageCar"/>
    <w:uiPriority w:val="99"/>
    <w:unhideWhenUsed/>
    <w:rsid w:val="00F958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58B7"/>
  </w:style>
  <w:style w:type="character" w:styleId="Marquedecommentaire">
    <w:name w:val="annotation reference"/>
    <w:basedOn w:val="Policepardfaut"/>
    <w:uiPriority w:val="99"/>
    <w:semiHidden/>
    <w:unhideWhenUsed/>
    <w:rsid w:val="00D21010"/>
    <w:rPr>
      <w:sz w:val="16"/>
      <w:szCs w:val="16"/>
    </w:rPr>
  </w:style>
  <w:style w:type="paragraph" w:styleId="Commentaire">
    <w:name w:val="annotation text"/>
    <w:basedOn w:val="Normal"/>
    <w:link w:val="CommentaireCar"/>
    <w:uiPriority w:val="99"/>
    <w:semiHidden/>
    <w:unhideWhenUsed/>
    <w:rsid w:val="00D21010"/>
    <w:pPr>
      <w:spacing w:line="240" w:lineRule="auto"/>
    </w:pPr>
    <w:rPr>
      <w:sz w:val="20"/>
      <w:szCs w:val="20"/>
    </w:rPr>
  </w:style>
  <w:style w:type="character" w:customStyle="1" w:styleId="CommentaireCar">
    <w:name w:val="Commentaire Car"/>
    <w:basedOn w:val="Policepardfaut"/>
    <w:link w:val="Commentaire"/>
    <w:uiPriority w:val="99"/>
    <w:semiHidden/>
    <w:rsid w:val="00D21010"/>
    <w:rPr>
      <w:sz w:val="20"/>
      <w:szCs w:val="20"/>
    </w:rPr>
  </w:style>
  <w:style w:type="paragraph" w:styleId="Objetducommentaire">
    <w:name w:val="annotation subject"/>
    <w:basedOn w:val="Commentaire"/>
    <w:next w:val="Commentaire"/>
    <w:link w:val="ObjetducommentaireCar"/>
    <w:uiPriority w:val="99"/>
    <w:semiHidden/>
    <w:unhideWhenUsed/>
    <w:rsid w:val="00D21010"/>
    <w:rPr>
      <w:b/>
      <w:bCs/>
    </w:rPr>
  </w:style>
  <w:style w:type="character" w:customStyle="1" w:styleId="ObjetducommentaireCar">
    <w:name w:val="Objet du commentaire Car"/>
    <w:basedOn w:val="CommentaireCar"/>
    <w:link w:val="Objetducommentaire"/>
    <w:uiPriority w:val="99"/>
    <w:semiHidden/>
    <w:rsid w:val="00D21010"/>
    <w:rPr>
      <w:b/>
      <w:bCs/>
      <w:sz w:val="20"/>
      <w:szCs w:val="20"/>
    </w:rPr>
  </w:style>
  <w:style w:type="paragraph" w:styleId="Textedebulles">
    <w:name w:val="Balloon Text"/>
    <w:basedOn w:val="Normal"/>
    <w:link w:val="TextedebullesCar"/>
    <w:uiPriority w:val="99"/>
    <w:semiHidden/>
    <w:unhideWhenUsed/>
    <w:rsid w:val="00D210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10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1042</Words>
  <Characters>5733</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Joaquim Nassar</dc:creator>
  <cp:lastModifiedBy>Sandrine Crouzet</cp:lastModifiedBy>
  <cp:revision>2</cp:revision>
  <dcterms:created xsi:type="dcterms:W3CDTF">2020-06-18T14:09:00Z</dcterms:created>
  <dcterms:modified xsi:type="dcterms:W3CDTF">2020-06-18T14:09:00Z</dcterms:modified>
</cp:coreProperties>
</file>