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3A326" w14:textId="6180AC55" w:rsidR="006B1F82" w:rsidRDefault="009A237A" w:rsidP="005E2DC4">
      <w:pPr>
        <w:jc w:val="center"/>
        <w:rPr>
          <w:b/>
          <w:u w:val="single"/>
        </w:rPr>
      </w:pPr>
      <w:r w:rsidRPr="00183DFC">
        <w:rPr>
          <w:b/>
          <w:noProof/>
          <w:lang w:eastAsia="fr-FR"/>
        </w:rPr>
        <w:drawing>
          <wp:anchor distT="0" distB="0" distL="114300" distR="114300" simplePos="0" relativeHeight="251658239" behindDoc="0" locked="0" layoutInCell="1" allowOverlap="1" wp14:anchorId="55D57B46" wp14:editId="6F6F7CC5">
            <wp:simplePos x="0" y="0"/>
            <wp:positionH relativeFrom="column">
              <wp:posOffset>214630</wp:posOffset>
            </wp:positionH>
            <wp:positionV relativeFrom="paragraph">
              <wp:posOffset>309880</wp:posOffset>
            </wp:positionV>
            <wp:extent cx="5217795" cy="1552575"/>
            <wp:effectExtent l="0" t="0" r="1905" b="9525"/>
            <wp:wrapNone/>
            <wp:docPr id="15" name="Image 15" descr="C:\Users\cagostin\AppData\Local\Microsoft\Windows\Temporary Internet Files\Content.Outlook\3F5WKDY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gostin\AppData\Local\Microsoft\Windows\Temporary Internet Files\Content.Outlook\3F5WKDYS\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779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6C018" w14:textId="77777777" w:rsidR="006B1F82" w:rsidRDefault="006B1F82" w:rsidP="005E2DC4">
      <w:pPr>
        <w:jc w:val="center"/>
        <w:rPr>
          <w:b/>
          <w:u w:val="single"/>
        </w:rPr>
      </w:pPr>
    </w:p>
    <w:p w14:paraId="0DE44A04" w14:textId="77777777" w:rsidR="006B1F82" w:rsidRDefault="006B1F82" w:rsidP="005E2DC4">
      <w:pPr>
        <w:jc w:val="center"/>
        <w:rPr>
          <w:b/>
          <w:u w:val="single"/>
        </w:rPr>
      </w:pPr>
    </w:p>
    <w:p w14:paraId="09F82125" w14:textId="77777777" w:rsidR="006B1F82" w:rsidRDefault="006B1F82" w:rsidP="005E2DC4">
      <w:pPr>
        <w:jc w:val="center"/>
        <w:rPr>
          <w:b/>
          <w:u w:val="single"/>
        </w:rPr>
      </w:pPr>
    </w:p>
    <w:p w14:paraId="0F1C49EF" w14:textId="77777777" w:rsidR="006B1F82" w:rsidRDefault="006B1F82" w:rsidP="005E2DC4">
      <w:pPr>
        <w:jc w:val="center"/>
        <w:rPr>
          <w:b/>
          <w:u w:val="single"/>
        </w:rPr>
      </w:pPr>
    </w:p>
    <w:p w14:paraId="4B4CFFDC" w14:textId="77777777" w:rsidR="006B1F82" w:rsidRDefault="006B1F82" w:rsidP="005E2DC4">
      <w:pPr>
        <w:jc w:val="center"/>
        <w:rPr>
          <w:b/>
          <w:u w:val="single"/>
        </w:rPr>
      </w:pPr>
    </w:p>
    <w:p w14:paraId="640070F0" w14:textId="77777777" w:rsidR="006B1F82" w:rsidRDefault="006B1F82" w:rsidP="006B1F82">
      <w:pPr>
        <w:pStyle w:val="Default"/>
      </w:pPr>
    </w:p>
    <w:p w14:paraId="23128A21" w14:textId="77777777" w:rsidR="009A237A" w:rsidRDefault="009A237A" w:rsidP="006B1F82">
      <w:pPr>
        <w:pStyle w:val="Default"/>
      </w:pPr>
    </w:p>
    <w:p w14:paraId="7FF9951B" w14:textId="24AFC7AF" w:rsidR="006B1F82" w:rsidRDefault="00EB7924" w:rsidP="009E37DF">
      <w:pPr>
        <w:pStyle w:val="Default"/>
        <w:rPr>
          <w:color w:val="585858"/>
          <w:sz w:val="44"/>
          <w:szCs w:val="44"/>
        </w:rPr>
      </w:pPr>
      <w:r>
        <w:rPr>
          <w:color w:val="585858"/>
          <w:sz w:val="44"/>
          <w:szCs w:val="44"/>
        </w:rPr>
        <w:t xml:space="preserve">RAPPORT </w:t>
      </w:r>
      <w:r w:rsidR="00B64879">
        <w:rPr>
          <w:color w:val="585858"/>
          <w:sz w:val="44"/>
          <w:szCs w:val="44"/>
        </w:rPr>
        <w:t xml:space="preserve">PUBLIC </w:t>
      </w:r>
      <w:r w:rsidR="000876EB">
        <w:rPr>
          <w:color w:val="585858"/>
          <w:sz w:val="44"/>
          <w:szCs w:val="44"/>
        </w:rPr>
        <w:t>D’EXAMEN DES VOEUX</w:t>
      </w:r>
    </w:p>
    <w:p w14:paraId="24DA188F" w14:textId="77777777" w:rsidR="006B1F82" w:rsidRPr="009E37DF" w:rsidRDefault="009E37DF" w:rsidP="009E37DF">
      <w:pPr>
        <w:spacing w:after="0" w:line="240" w:lineRule="auto"/>
        <w:rPr>
          <w:color w:val="535353"/>
          <w:sz w:val="16"/>
          <w:szCs w:val="16"/>
        </w:rPr>
      </w:pPr>
      <w:r>
        <w:rPr>
          <w:noProof/>
          <w:color w:val="535353"/>
          <w:sz w:val="28"/>
          <w:szCs w:val="28"/>
          <w:lang w:eastAsia="fr-FR"/>
        </w:rPr>
        <mc:AlternateContent>
          <mc:Choice Requires="wps">
            <w:drawing>
              <wp:anchor distT="0" distB="0" distL="114300" distR="114300" simplePos="0" relativeHeight="251660288" behindDoc="0" locked="0" layoutInCell="1" allowOverlap="1" wp14:anchorId="4F71B57E" wp14:editId="584C7605">
                <wp:simplePos x="0" y="0"/>
                <wp:positionH relativeFrom="column">
                  <wp:posOffset>635</wp:posOffset>
                </wp:positionH>
                <wp:positionV relativeFrom="paragraph">
                  <wp:posOffset>113665</wp:posOffset>
                </wp:positionV>
                <wp:extent cx="5594985" cy="0"/>
                <wp:effectExtent l="0" t="0" r="24765" b="19050"/>
                <wp:wrapNone/>
                <wp:docPr id="3" name="Connecteur droit 3"/>
                <wp:cNvGraphicFramePr/>
                <a:graphic xmlns:a="http://schemas.openxmlformats.org/drawingml/2006/main">
                  <a:graphicData uri="http://schemas.microsoft.com/office/word/2010/wordprocessingShape">
                    <wps:wsp>
                      <wps:cNvCnPr/>
                      <wps:spPr>
                        <a:xfrm>
                          <a:off x="0" y="0"/>
                          <a:ext cx="559498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1A181"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8.95pt" to="440.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" strokecolor="#7f7f7f [1612]"/>
            </w:pict>
          </mc:Fallback>
        </mc:AlternateContent>
      </w:r>
    </w:p>
    <w:p w14:paraId="5DECE137" w14:textId="77777777" w:rsidR="006B1F82" w:rsidRDefault="006B1F82" w:rsidP="009E37DF">
      <w:pPr>
        <w:spacing w:after="0" w:line="240" w:lineRule="auto"/>
        <w:rPr>
          <w:color w:val="535353"/>
          <w:sz w:val="28"/>
          <w:szCs w:val="28"/>
        </w:rPr>
      </w:pPr>
      <w:r>
        <w:rPr>
          <w:color w:val="535353"/>
          <w:sz w:val="28"/>
          <w:szCs w:val="28"/>
        </w:rPr>
        <w:t>NOTE DE CADRAGE</w:t>
      </w:r>
    </w:p>
    <w:p w14:paraId="6388EED1" w14:textId="77777777" w:rsidR="006B1F82" w:rsidRDefault="006B1F82" w:rsidP="006B1F82">
      <w:pPr>
        <w:rPr>
          <w:color w:val="535353"/>
          <w:sz w:val="28"/>
          <w:szCs w:val="28"/>
        </w:rPr>
      </w:pPr>
    </w:p>
    <w:p w14:paraId="173EC116" w14:textId="77777777" w:rsidR="006B1F82" w:rsidRDefault="006B1F82" w:rsidP="006B1F82">
      <w:pPr>
        <w:rPr>
          <w:color w:val="535353"/>
          <w:sz w:val="28"/>
          <w:szCs w:val="28"/>
        </w:rPr>
      </w:pPr>
    </w:p>
    <w:p w14:paraId="5D8237D1" w14:textId="77777777" w:rsidR="006B1F82" w:rsidRDefault="006B1F82" w:rsidP="006B1F82">
      <w:pPr>
        <w:rPr>
          <w:color w:val="535353"/>
          <w:sz w:val="28"/>
          <w:szCs w:val="28"/>
        </w:rPr>
      </w:pPr>
    </w:p>
    <w:p w14:paraId="67A42A0F" w14:textId="77777777" w:rsidR="006B1F82" w:rsidRDefault="006B1F82" w:rsidP="006B1F82">
      <w:pPr>
        <w:rPr>
          <w:color w:val="535353"/>
          <w:sz w:val="28"/>
          <w:szCs w:val="28"/>
        </w:rPr>
      </w:pPr>
    </w:p>
    <w:p w14:paraId="1FEE7930" w14:textId="77777777" w:rsidR="006B1F82" w:rsidRDefault="006B1F82" w:rsidP="006B1F82">
      <w:pPr>
        <w:rPr>
          <w:color w:val="535353"/>
          <w:sz w:val="28"/>
          <w:szCs w:val="28"/>
        </w:rPr>
      </w:pPr>
    </w:p>
    <w:p w14:paraId="1AABE3F5" w14:textId="77777777" w:rsidR="006B1F82" w:rsidRDefault="006B1F82" w:rsidP="006B1F82">
      <w:pPr>
        <w:rPr>
          <w:color w:val="535353"/>
          <w:sz w:val="28"/>
          <w:szCs w:val="28"/>
        </w:rPr>
      </w:pPr>
    </w:p>
    <w:p w14:paraId="4F54E659" w14:textId="77777777" w:rsidR="006B1F82" w:rsidRDefault="006B1F82" w:rsidP="006B1F82">
      <w:pPr>
        <w:rPr>
          <w:color w:val="535353"/>
          <w:sz w:val="28"/>
          <w:szCs w:val="28"/>
        </w:rPr>
      </w:pPr>
    </w:p>
    <w:p w14:paraId="6B974857" w14:textId="77777777" w:rsidR="006B1F82" w:rsidRDefault="006B1F82" w:rsidP="006B1F82">
      <w:pPr>
        <w:rPr>
          <w:color w:val="535353"/>
          <w:sz w:val="28"/>
          <w:szCs w:val="28"/>
        </w:rPr>
      </w:pPr>
    </w:p>
    <w:p w14:paraId="25BF182F" w14:textId="477B2822" w:rsidR="006B1F82" w:rsidRPr="00E33C9E" w:rsidRDefault="00AF6488" w:rsidP="006B1F82">
      <w:pPr>
        <w:rPr>
          <w:color w:val="535353"/>
        </w:rPr>
      </w:pPr>
      <w:r>
        <w:rPr>
          <w:color w:val="535353"/>
        </w:rPr>
        <w:t xml:space="preserve">Version mise à jour : </w:t>
      </w:r>
      <w:r w:rsidR="0037587B">
        <w:rPr>
          <w:color w:val="535353"/>
        </w:rPr>
        <w:t>mai 2022</w:t>
      </w:r>
    </w:p>
    <w:p w14:paraId="2F0F902D" w14:textId="77777777" w:rsidR="006B1F82" w:rsidRDefault="009E37DF" w:rsidP="006B1F82">
      <w:pPr>
        <w:rPr>
          <w:color w:val="535353"/>
          <w:sz w:val="28"/>
          <w:szCs w:val="28"/>
        </w:rPr>
      </w:pPr>
      <w:r>
        <w:rPr>
          <w:noProof/>
          <w:color w:val="535353"/>
          <w:sz w:val="28"/>
          <w:szCs w:val="28"/>
          <w:lang w:eastAsia="fr-FR"/>
        </w:rPr>
        <mc:AlternateContent>
          <mc:Choice Requires="wps">
            <w:drawing>
              <wp:anchor distT="0" distB="0" distL="114300" distR="114300" simplePos="0" relativeHeight="251664384" behindDoc="0" locked="0" layoutInCell="1" allowOverlap="1" wp14:anchorId="08587017" wp14:editId="43D0E6C4">
                <wp:simplePos x="0" y="0"/>
                <wp:positionH relativeFrom="column">
                  <wp:posOffset>-544954</wp:posOffset>
                </wp:positionH>
                <wp:positionV relativeFrom="paragraph">
                  <wp:posOffset>33788</wp:posOffset>
                </wp:positionV>
                <wp:extent cx="6891655" cy="95250"/>
                <wp:effectExtent l="0" t="0" r="4445" b="0"/>
                <wp:wrapNone/>
                <wp:docPr id="7" name="Rectangle 7"/>
                <wp:cNvGraphicFramePr/>
                <a:graphic xmlns:a="http://schemas.openxmlformats.org/drawingml/2006/main">
                  <a:graphicData uri="http://schemas.microsoft.com/office/word/2010/wordprocessingShape">
                    <wps:wsp>
                      <wps:cNvSpPr/>
                      <wps:spPr>
                        <a:xfrm>
                          <a:off x="0" y="0"/>
                          <a:ext cx="6891655" cy="95250"/>
                        </a:xfrm>
                        <a:prstGeom prst="rect">
                          <a:avLst/>
                        </a:prstGeom>
                        <a:solidFill>
                          <a:schemeClr val="bg1">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535AC8" id="Rectangle 7" o:spid="_x0000_s1026" style="position:absolute;margin-left:-42.9pt;margin-top:2.65pt;width:542.6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" fillcolor="#7f7f7f [1612]" stroked="f" strokeweight="2pt"/>
            </w:pict>
          </mc:Fallback>
        </mc:AlternateContent>
      </w:r>
      <w:r>
        <w:rPr>
          <w:noProof/>
          <w:color w:val="535353"/>
          <w:sz w:val="28"/>
          <w:szCs w:val="28"/>
          <w:lang w:eastAsia="fr-FR"/>
        </w:rPr>
        <mc:AlternateContent>
          <mc:Choice Requires="wps">
            <w:drawing>
              <wp:anchor distT="0" distB="0" distL="114300" distR="114300" simplePos="0" relativeHeight="251661312" behindDoc="0" locked="0" layoutInCell="1" allowOverlap="1" wp14:anchorId="4031C0D3" wp14:editId="4FBF2D67">
                <wp:simplePos x="0" y="0"/>
                <wp:positionH relativeFrom="column">
                  <wp:posOffset>-544954</wp:posOffset>
                </wp:positionH>
                <wp:positionV relativeFrom="paragraph">
                  <wp:posOffset>129322</wp:posOffset>
                </wp:positionV>
                <wp:extent cx="6892119" cy="1842135"/>
                <wp:effectExtent l="0" t="0" r="4445" b="5715"/>
                <wp:wrapNone/>
                <wp:docPr id="5" name="Rectangle 5"/>
                <wp:cNvGraphicFramePr/>
                <a:graphic xmlns:a="http://schemas.openxmlformats.org/drawingml/2006/main">
                  <a:graphicData uri="http://schemas.microsoft.com/office/word/2010/wordprocessingShape">
                    <wps:wsp>
                      <wps:cNvSpPr/>
                      <wps:spPr>
                        <a:xfrm>
                          <a:off x="0" y="0"/>
                          <a:ext cx="6892119" cy="1842135"/>
                        </a:xfrm>
                        <a:prstGeom prst="rect">
                          <a:avLst/>
                        </a:prstGeom>
                        <a:solidFill>
                          <a:srgbClr val="2851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7F671C" id="Rectangle 5" o:spid="_x0000_s1026" style="position:absolute;margin-left:-42.9pt;margin-top:10.2pt;width:542.7pt;height:145.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" fillcolor="#28516a" stroked="f" strokeweight="2pt"/>
            </w:pict>
          </mc:Fallback>
        </mc:AlternateContent>
      </w:r>
    </w:p>
    <w:p w14:paraId="031AE4AB" w14:textId="77777777" w:rsidR="006B1F82" w:rsidRDefault="006B1F82" w:rsidP="006B1F82">
      <w:pPr>
        <w:rPr>
          <w:color w:val="535353"/>
          <w:sz w:val="28"/>
          <w:szCs w:val="28"/>
        </w:rPr>
      </w:pPr>
    </w:p>
    <w:p w14:paraId="39C33130" w14:textId="77777777" w:rsidR="006B1F82" w:rsidRDefault="006B1F82" w:rsidP="006B1F82">
      <w:pPr>
        <w:rPr>
          <w:color w:val="535353"/>
          <w:sz w:val="28"/>
          <w:szCs w:val="28"/>
        </w:rPr>
      </w:pPr>
    </w:p>
    <w:p w14:paraId="1042D9B5" w14:textId="77777777" w:rsidR="006B1F82" w:rsidRDefault="009E37DF" w:rsidP="006B1F82">
      <w:pPr>
        <w:rPr>
          <w:color w:val="535353"/>
          <w:sz w:val="28"/>
          <w:szCs w:val="28"/>
        </w:rPr>
      </w:pPr>
      <w:r>
        <w:rPr>
          <w:noProof/>
          <w:color w:val="535353"/>
          <w:sz w:val="28"/>
          <w:szCs w:val="28"/>
          <w:lang w:eastAsia="fr-FR"/>
        </w:rPr>
        <mc:AlternateContent>
          <mc:Choice Requires="wps">
            <w:drawing>
              <wp:anchor distT="0" distB="0" distL="114300" distR="114300" simplePos="0" relativeHeight="251662336" behindDoc="0" locked="0" layoutInCell="1" allowOverlap="1" wp14:anchorId="743D9E95" wp14:editId="7AF9B5FB">
                <wp:simplePos x="0" y="0"/>
                <wp:positionH relativeFrom="column">
                  <wp:posOffset>1869677</wp:posOffset>
                </wp:positionH>
                <wp:positionV relativeFrom="paragraph">
                  <wp:posOffset>91440</wp:posOffset>
                </wp:positionV>
                <wp:extent cx="2074459" cy="382137"/>
                <wp:effectExtent l="0" t="0" r="2540" b="0"/>
                <wp:wrapNone/>
                <wp:docPr id="6" name="Zone de texte 6"/>
                <wp:cNvGraphicFramePr/>
                <a:graphic xmlns:a="http://schemas.openxmlformats.org/drawingml/2006/main">
                  <a:graphicData uri="http://schemas.microsoft.com/office/word/2010/wordprocessingShape">
                    <wps:wsp>
                      <wps:cNvSpPr txBox="1"/>
                      <wps:spPr>
                        <a:xfrm>
                          <a:off x="0" y="0"/>
                          <a:ext cx="2074459" cy="382137"/>
                        </a:xfrm>
                        <a:prstGeom prst="rect">
                          <a:avLst/>
                        </a:prstGeom>
                        <a:solidFill>
                          <a:srgbClr val="28516A"/>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48A92" w14:textId="5ABF7F36" w:rsidR="00183C8A" w:rsidRPr="009E37DF" w:rsidRDefault="00183C8A" w:rsidP="009E37DF">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FFFFFF"/>
                                <w:sz w:val="32"/>
                                <w:szCs w:val="32"/>
                              </w:rPr>
                              <w:t>Session 202</w:t>
                            </w:r>
                            <w:r w:rsidR="0037587B">
                              <w:rPr>
                                <w:rFonts w:ascii="Calibri" w:hAnsi="Calibri" w:cs="Calibri"/>
                                <w:color w:val="FFFFFF"/>
                                <w:sz w:val="32"/>
                                <w:szCs w:val="32"/>
                              </w:rPr>
                              <w:t>2</w:t>
                            </w:r>
                          </w:p>
                          <w:p w14:paraId="7AF4F035" w14:textId="77777777" w:rsidR="00183C8A" w:rsidRDefault="00183C8A" w:rsidP="009E37DF">
                            <w:r w:rsidRPr="009E37DF">
                              <w:rPr>
                                <w:rFonts w:ascii="Calibri" w:hAnsi="Calibri" w:cs="Calibri"/>
                                <w:color w:val="000000"/>
                                <w:sz w:val="24"/>
                                <w:szCs w:val="24"/>
                              </w:rPr>
                              <w:t xml:space="preserve"> </w:t>
                            </w:r>
                            <w:r w:rsidRPr="009E37DF">
                              <w:rPr>
                                <w:rFonts w:ascii="Calibri" w:hAnsi="Calibri" w:cs="Calibri"/>
                                <w:color w:val="FFFFFF"/>
                                <w:sz w:val="32"/>
                                <w:szCs w:val="32"/>
                              </w:rPr>
                              <w:t>Session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3D9E95" id="_x0000_t202" coordsize="21600,21600" o:spt="202" path="m,l,21600r21600,l21600,xe">
                <v:stroke joinstyle="miter"/>
                <v:path gradientshapeok="t" o:connecttype="rect"/>
              </v:shapetype>
              <v:shape id="Zone de texte 6" o:spid="_x0000_s1026" type="#_x0000_t202" style="position:absolute;margin-left:147.2pt;margin-top:7.2pt;width:163.35pt;height:3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" fillcolor="#28516a" stroked="f" strokeweight=".5pt">
                <v:textbox>
                  <w:txbxContent>
                    <w:p w14:paraId="7D748A92" w14:textId="5ABF7F36" w:rsidR="00183C8A" w:rsidRPr="009E37DF" w:rsidRDefault="00183C8A" w:rsidP="009E37DF">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FFFFFF"/>
                          <w:sz w:val="32"/>
                          <w:szCs w:val="32"/>
                        </w:rPr>
                        <w:t>Session 202</w:t>
                      </w:r>
                      <w:r w:rsidR="0037587B">
                        <w:rPr>
                          <w:rFonts w:ascii="Calibri" w:hAnsi="Calibri" w:cs="Calibri"/>
                          <w:color w:val="FFFFFF"/>
                          <w:sz w:val="32"/>
                          <w:szCs w:val="32"/>
                        </w:rPr>
                        <w:t>2</w:t>
                      </w:r>
                    </w:p>
                    <w:p w14:paraId="7AF4F035" w14:textId="77777777" w:rsidR="00183C8A" w:rsidRDefault="00183C8A" w:rsidP="009E37DF">
                      <w:r w:rsidRPr="009E37DF">
                        <w:rPr>
                          <w:rFonts w:ascii="Calibri" w:hAnsi="Calibri" w:cs="Calibri"/>
                          <w:color w:val="000000"/>
                          <w:sz w:val="24"/>
                          <w:szCs w:val="24"/>
                        </w:rPr>
                        <w:t xml:space="preserve"> </w:t>
                      </w:r>
                      <w:r w:rsidRPr="009E37DF">
                        <w:rPr>
                          <w:rFonts w:ascii="Calibri" w:hAnsi="Calibri" w:cs="Calibri"/>
                          <w:color w:val="FFFFFF"/>
                          <w:sz w:val="32"/>
                          <w:szCs w:val="32"/>
                        </w:rPr>
                        <w:t>Session 2019</w:t>
                      </w:r>
                    </w:p>
                  </w:txbxContent>
                </v:textbox>
              </v:shape>
            </w:pict>
          </mc:Fallback>
        </mc:AlternateContent>
      </w:r>
    </w:p>
    <w:p w14:paraId="79D829A6" w14:textId="72EEEFD4" w:rsidR="00D43C5A" w:rsidRDefault="00227C8E" w:rsidP="00C370F6">
      <w:pPr>
        <w:spacing w:after="0" w:line="240" w:lineRule="auto"/>
        <w:rPr>
          <w:b/>
          <w:u w:val="single"/>
        </w:rPr>
      </w:pPr>
      <w:r>
        <w:rPr>
          <w:noProof/>
          <w:lang w:eastAsia="fr-FR"/>
        </w:rPr>
        <w:lastRenderedPageBreak/>
        <w:drawing>
          <wp:anchor distT="0" distB="0" distL="114300" distR="114300" simplePos="0" relativeHeight="251677696" behindDoc="0" locked="0" layoutInCell="1" allowOverlap="1" wp14:anchorId="727012BB" wp14:editId="4656A2EA">
            <wp:simplePos x="0" y="0"/>
            <wp:positionH relativeFrom="column">
              <wp:posOffset>5902325</wp:posOffset>
            </wp:positionH>
            <wp:positionV relativeFrom="paragraph">
              <wp:posOffset>-526667</wp:posOffset>
            </wp:positionV>
            <wp:extent cx="656590" cy="49149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590"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21BD6" w14:textId="622495D8" w:rsidR="006B1F82" w:rsidRDefault="007B7564" w:rsidP="00C370F6">
      <w:pPr>
        <w:spacing w:after="0" w:line="240" w:lineRule="auto"/>
        <w:rPr>
          <w:b/>
          <w:u w:val="single"/>
        </w:rPr>
      </w:pPr>
      <w:r>
        <w:rPr>
          <w:noProof/>
          <w:color w:val="535353"/>
          <w:sz w:val="28"/>
          <w:szCs w:val="28"/>
          <w:lang w:eastAsia="fr-FR"/>
        </w:rPr>
        <mc:AlternateContent>
          <mc:Choice Requires="wps">
            <w:drawing>
              <wp:anchor distT="0" distB="0" distL="114300" distR="114300" simplePos="0" relativeHeight="251667456" behindDoc="0" locked="0" layoutInCell="1" allowOverlap="1" wp14:anchorId="15AE6544" wp14:editId="30956FB6">
                <wp:simplePos x="0" y="0"/>
                <wp:positionH relativeFrom="column">
                  <wp:posOffset>-53634</wp:posOffset>
                </wp:positionH>
                <wp:positionV relativeFrom="paragraph">
                  <wp:posOffset>-203759</wp:posOffset>
                </wp:positionV>
                <wp:extent cx="5854890" cy="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585489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061257" id="Connecteur droit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6.05pt" to="456.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" strokecolor="#7f7f7f"/>
            </w:pict>
          </mc:Fallback>
        </mc:AlternateContent>
      </w:r>
    </w:p>
    <w:p w14:paraId="7412DD58" w14:textId="566B7185" w:rsidR="003B1427" w:rsidRDefault="003B1427" w:rsidP="00F93A8B">
      <w:pPr>
        <w:pStyle w:val="Default"/>
        <w:numPr>
          <w:ilvl w:val="0"/>
          <w:numId w:val="6"/>
        </w:numPr>
        <w:rPr>
          <w:color w:val="3C556D"/>
          <w:sz w:val="32"/>
          <w:szCs w:val="32"/>
        </w:rPr>
      </w:pPr>
      <w:r>
        <w:rPr>
          <w:color w:val="3C556D"/>
          <w:sz w:val="32"/>
          <w:szCs w:val="32"/>
        </w:rPr>
        <w:t xml:space="preserve">Objet de la note de cadrage </w:t>
      </w:r>
    </w:p>
    <w:p w14:paraId="12C27BCC" w14:textId="77777777" w:rsidR="003B1427" w:rsidRPr="00252A6F" w:rsidRDefault="003B1427" w:rsidP="003B1427">
      <w:pPr>
        <w:pStyle w:val="Default"/>
        <w:rPr>
          <w:color w:val="3C556D"/>
          <w:sz w:val="28"/>
          <w:szCs w:val="28"/>
        </w:rPr>
      </w:pPr>
    </w:p>
    <w:p w14:paraId="3C66604F" w14:textId="41B7CA76" w:rsidR="00482E5C" w:rsidRDefault="007B453E" w:rsidP="00675CF4">
      <w:pPr>
        <w:pStyle w:val="Default"/>
        <w:spacing w:after="200" w:line="276" w:lineRule="auto"/>
        <w:jc w:val="both"/>
        <w:rPr>
          <w:sz w:val="21"/>
          <w:szCs w:val="21"/>
        </w:rPr>
      </w:pPr>
      <w:r>
        <w:rPr>
          <w:sz w:val="21"/>
          <w:szCs w:val="21"/>
        </w:rPr>
        <w:t>La pré</w:t>
      </w:r>
      <w:r w:rsidR="00EB7924">
        <w:rPr>
          <w:sz w:val="21"/>
          <w:szCs w:val="21"/>
        </w:rPr>
        <w:t xml:space="preserve">sente note vise à </w:t>
      </w:r>
      <w:r w:rsidR="00482E5C">
        <w:rPr>
          <w:sz w:val="21"/>
          <w:szCs w:val="21"/>
        </w:rPr>
        <w:t>donner</w:t>
      </w:r>
      <w:r w:rsidR="00EB7924">
        <w:rPr>
          <w:sz w:val="21"/>
          <w:szCs w:val="21"/>
        </w:rPr>
        <w:t xml:space="preserve"> des</w:t>
      </w:r>
      <w:r>
        <w:rPr>
          <w:sz w:val="21"/>
          <w:szCs w:val="21"/>
        </w:rPr>
        <w:t xml:space="preserve"> éléments de </w:t>
      </w:r>
      <w:r w:rsidR="00482E5C">
        <w:rPr>
          <w:sz w:val="21"/>
          <w:szCs w:val="21"/>
        </w:rPr>
        <w:t xml:space="preserve">cadrage </w:t>
      </w:r>
      <w:r w:rsidR="000A7F43">
        <w:rPr>
          <w:sz w:val="21"/>
          <w:szCs w:val="21"/>
        </w:rPr>
        <w:t xml:space="preserve">pour l’élaboration et </w:t>
      </w:r>
      <w:r w:rsidR="00482E5C">
        <w:rPr>
          <w:sz w:val="21"/>
          <w:szCs w:val="21"/>
        </w:rPr>
        <w:t xml:space="preserve">la publication, par chaque établissement porteur d’une formation inscrite sur la plateforme </w:t>
      </w:r>
      <w:r w:rsidR="0043498C">
        <w:rPr>
          <w:sz w:val="21"/>
          <w:szCs w:val="21"/>
        </w:rPr>
        <w:t>P</w:t>
      </w:r>
      <w:r w:rsidR="00482E5C">
        <w:rPr>
          <w:sz w:val="21"/>
          <w:szCs w:val="21"/>
        </w:rPr>
        <w:t xml:space="preserve">arcoursup, </w:t>
      </w:r>
      <w:r w:rsidR="00482E5C" w:rsidRPr="00482E5C">
        <w:rPr>
          <w:sz w:val="21"/>
          <w:szCs w:val="21"/>
        </w:rPr>
        <w:t>à l'issue de la procédure nationale de préinscription</w:t>
      </w:r>
      <w:r w:rsidR="00482E5C">
        <w:rPr>
          <w:sz w:val="21"/>
          <w:szCs w:val="21"/>
        </w:rPr>
        <w:t>,</w:t>
      </w:r>
      <w:r w:rsidR="00482E5C" w:rsidRPr="00482E5C">
        <w:rPr>
          <w:sz w:val="21"/>
          <w:szCs w:val="21"/>
        </w:rPr>
        <w:t xml:space="preserve"> </w:t>
      </w:r>
      <w:r w:rsidR="00EB7924">
        <w:rPr>
          <w:sz w:val="21"/>
          <w:szCs w:val="21"/>
        </w:rPr>
        <w:t>d</w:t>
      </w:r>
      <w:r w:rsidR="00482E5C">
        <w:rPr>
          <w:sz w:val="21"/>
          <w:szCs w:val="21"/>
        </w:rPr>
        <w:t>’un</w:t>
      </w:r>
      <w:r w:rsidR="00EB7924">
        <w:rPr>
          <w:sz w:val="21"/>
          <w:szCs w:val="21"/>
        </w:rPr>
        <w:t xml:space="preserve"> rapport </w:t>
      </w:r>
      <w:r w:rsidR="00482E5C">
        <w:rPr>
          <w:sz w:val="21"/>
          <w:szCs w:val="21"/>
        </w:rPr>
        <w:t>précisant,</w:t>
      </w:r>
      <w:r w:rsidR="00482E5C" w:rsidRPr="00482E5C">
        <w:rPr>
          <w:sz w:val="21"/>
          <w:szCs w:val="21"/>
        </w:rPr>
        <w:t xml:space="preserve"> dans le respect de la vie privée des candidats, </w:t>
      </w:r>
      <w:r w:rsidR="00482E5C">
        <w:rPr>
          <w:sz w:val="21"/>
          <w:szCs w:val="21"/>
        </w:rPr>
        <w:t>les</w:t>
      </w:r>
      <w:r w:rsidR="00EB7924">
        <w:rPr>
          <w:sz w:val="21"/>
          <w:szCs w:val="21"/>
        </w:rPr>
        <w:t xml:space="preserve"> </w:t>
      </w:r>
      <w:r w:rsidR="00482E5C" w:rsidRPr="00482E5C">
        <w:rPr>
          <w:sz w:val="21"/>
          <w:szCs w:val="21"/>
        </w:rPr>
        <w:t xml:space="preserve">critères en fonction desquels les candidatures ont été examinées </w:t>
      </w:r>
      <w:r w:rsidR="00482E5C">
        <w:rPr>
          <w:sz w:val="21"/>
          <w:szCs w:val="21"/>
        </w:rPr>
        <w:t>et</w:t>
      </w:r>
      <w:r w:rsidR="00482E5C" w:rsidRPr="00482E5C">
        <w:rPr>
          <w:sz w:val="21"/>
          <w:szCs w:val="21"/>
        </w:rPr>
        <w:t>, le cas échéant, dans quelle mesure des traitements algorithmiques ont été utilisés pour procéder à cet examen.</w:t>
      </w:r>
    </w:p>
    <w:p w14:paraId="79F00203" w14:textId="55639DBB" w:rsidR="003B1427" w:rsidRPr="00675CF4" w:rsidRDefault="00482E5C" w:rsidP="00675CF4">
      <w:pPr>
        <w:pStyle w:val="Default"/>
        <w:spacing w:after="200" w:line="276" w:lineRule="auto"/>
        <w:jc w:val="both"/>
        <w:rPr>
          <w:sz w:val="21"/>
          <w:szCs w:val="21"/>
        </w:rPr>
      </w:pPr>
      <w:r>
        <w:rPr>
          <w:sz w:val="21"/>
          <w:szCs w:val="21"/>
        </w:rPr>
        <w:t xml:space="preserve">Ce rapport met en œuvre </w:t>
      </w:r>
      <w:r w:rsidR="00EB7924">
        <w:rPr>
          <w:sz w:val="21"/>
          <w:szCs w:val="21"/>
        </w:rPr>
        <w:t xml:space="preserve">la décision </w:t>
      </w:r>
      <w:r>
        <w:rPr>
          <w:sz w:val="21"/>
          <w:szCs w:val="21"/>
        </w:rPr>
        <w:t xml:space="preserve">n° 2020-834 QPC </w:t>
      </w:r>
      <w:r w:rsidR="00EB7924">
        <w:rPr>
          <w:sz w:val="21"/>
          <w:szCs w:val="21"/>
        </w:rPr>
        <w:t>du Conseil constitutionnel du 3 avril 2020</w:t>
      </w:r>
      <w:r w:rsidR="00AC5C58">
        <w:rPr>
          <w:sz w:val="21"/>
          <w:szCs w:val="21"/>
        </w:rPr>
        <w:t>. Sa publication sur Parcoursup est prescrite par l’article D. 612-1-5 du code de l’éducation.</w:t>
      </w:r>
    </w:p>
    <w:p w14:paraId="078A2714" w14:textId="77777777" w:rsidR="003B1427" w:rsidRPr="006A67DC" w:rsidRDefault="003B1427" w:rsidP="003B1427">
      <w:pPr>
        <w:pStyle w:val="Default"/>
        <w:rPr>
          <w:sz w:val="16"/>
          <w:szCs w:val="16"/>
        </w:rPr>
      </w:pPr>
    </w:p>
    <w:p w14:paraId="5A09D2A7" w14:textId="6E168C77" w:rsidR="003B1427" w:rsidRDefault="00292825" w:rsidP="00F93A8B">
      <w:pPr>
        <w:pStyle w:val="Default"/>
        <w:numPr>
          <w:ilvl w:val="0"/>
          <w:numId w:val="6"/>
        </w:numPr>
        <w:rPr>
          <w:color w:val="3C556D"/>
          <w:sz w:val="32"/>
          <w:szCs w:val="32"/>
        </w:rPr>
      </w:pPr>
      <w:r>
        <w:rPr>
          <w:color w:val="3C556D"/>
          <w:sz w:val="32"/>
          <w:szCs w:val="32"/>
        </w:rPr>
        <w:t>Contexte</w:t>
      </w:r>
    </w:p>
    <w:p w14:paraId="45E326D6" w14:textId="77777777" w:rsidR="003B1427" w:rsidRPr="00252A6F" w:rsidRDefault="003B1427" w:rsidP="003B1427">
      <w:pPr>
        <w:pStyle w:val="Default"/>
        <w:rPr>
          <w:color w:val="3C556D"/>
          <w:sz w:val="28"/>
          <w:szCs w:val="28"/>
        </w:rPr>
      </w:pPr>
    </w:p>
    <w:p w14:paraId="7BA5B6D6" w14:textId="664FC1F1" w:rsidR="00675CF4" w:rsidRDefault="00675CF4" w:rsidP="00AC5C58">
      <w:pPr>
        <w:pStyle w:val="Default"/>
        <w:spacing w:after="200" w:line="276" w:lineRule="auto"/>
        <w:jc w:val="both"/>
        <w:rPr>
          <w:sz w:val="21"/>
          <w:szCs w:val="21"/>
        </w:rPr>
      </w:pPr>
      <w:r>
        <w:rPr>
          <w:sz w:val="21"/>
          <w:szCs w:val="21"/>
        </w:rPr>
        <w:t xml:space="preserve">Dans sa décision du 3 avril 2020, le Conseil constitutionnel </w:t>
      </w:r>
      <w:r w:rsidR="00292825" w:rsidRPr="003B0D2E">
        <w:rPr>
          <w:sz w:val="21"/>
          <w:szCs w:val="21"/>
        </w:rPr>
        <w:t xml:space="preserve">confirme la constitutionnalité du processus d’examen de dossiers de la procédure </w:t>
      </w:r>
      <w:r w:rsidR="003B0D2E">
        <w:rPr>
          <w:sz w:val="21"/>
          <w:szCs w:val="21"/>
        </w:rPr>
        <w:t xml:space="preserve">nationale de préinscription </w:t>
      </w:r>
      <w:r w:rsidR="00292825" w:rsidRPr="003B0D2E">
        <w:rPr>
          <w:sz w:val="21"/>
          <w:szCs w:val="21"/>
        </w:rPr>
        <w:t>Parcoursup</w:t>
      </w:r>
      <w:r w:rsidR="003B0D2E">
        <w:rPr>
          <w:sz w:val="21"/>
          <w:szCs w:val="21"/>
        </w:rPr>
        <w:t>.</w:t>
      </w:r>
      <w:r w:rsidR="00AC5C58">
        <w:rPr>
          <w:sz w:val="21"/>
          <w:szCs w:val="21"/>
        </w:rPr>
        <w:t xml:space="preserve"> Il </w:t>
      </w:r>
      <w:r w:rsidR="007D409F">
        <w:rPr>
          <w:sz w:val="21"/>
          <w:szCs w:val="21"/>
        </w:rPr>
        <w:t>reconnaî</w:t>
      </w:r>
      <w:r w:rsidR="003B0D2E">
        <w:rPr>
          <w:sz w:val="21"/>
          <w:szCs w:val="21"/>
        </w:rPr>
        <w:t>t</w:t>
      </w:r>
      <w:r>
        <w:rPr>
          <w:sz w:val="21"/>
          <w:szCs w:val="21"/>
        </w:rPr>
        <w:t xml:space="preserve"> que la protection du secret des délibérations des</w:t>
      </w:r>
      <w:r w:rsidR="00AC5C58">
        <w:rPr>
          <w:sz w:val="21"/>
          <w:szCs w:val="21"/>
        </w:rPr>
        <w:t xml:space="preserve"> </w:t>
      </w:r>
      <w:r w:rsidR="00AC5C58" w:rsidRPr="003B0D2E">
        <w:rPr>
          <w:sz w:val="21"/>
          <w:szCs w:val="21"/>
        </w:rPr>
        <w:t xml:space="preserve">commissions d’examen des vœux </w:t>
      </w:r>
      <w:r>
        <w:rPr>
          <w:sz w:val="21"/>
          <w:szCs w:val="21"/>
        </w:rPr>
        <w:t xml:space="preserve">constitue un motif d’intérêt général, qui vise à assurer l’indépendance de ces équipes </w:t>
      </w:r>
      <w:r w:rsidR="003B0D2E">
        <w:rPr>
          <w:sz w:val="21"/>
          <w:szCs w:val="21"/>
        </w:rPr>
        <w:t xml:space="preserve">pédagogiques </w:t>
      </w:r>
      <w:r>
        <w:rPr>
          <w:sz w:val="21"/>
          <w:szCs w:val="21"/>
        </w:rPr>
        <w:t xml:space="preserve">et l’autorité de leurs décisions. </w:t>
      </w:r>
    </w:p>
    <w:p w14:paraId="51FB6D91" w14:textId="7CC51496" w:rsidR="00106532" w:rsidRDefault="00675CF4" w:rsidP="00E247ED">
      <w:pPr>
        <w:pStyle w:val="Default"/>
        <w:spacing w:after="200" w:line="276" w:lineRule="auto"/>
        <w:jc w:val="both"/>
        <w:rPr>
          <w:sz w:val="21"/>
          <w:szCs w:val="21"/>
        </w:rPr>
      </w:pPr>
      <w:r>
        <w:rPr>
          <w:sz w:val="21"/>
          <w:szCs w:val="21"/>
        </w:rPr>
        <w:t xml:space="preserve">Il a </w:t>
      </w:r>
      <w:r w:rsidR="003B0D2E">
        <w:rPr>
          <w:sz w:val="21"/>
          <w:szCs w:val="21"/>
        </w:rPr>
        <w:t>concomitamment</w:t>
      </w:r>
      <w:r>
        <w:rPr>
          <w:sz w:val="21"/>
          <w:szCs w:val="21"/>
        </w:rPr>
        <w:t xml:space="preserve"> relevé que</w:t>
      </w:r>
      <w:r w:rsidR="0043498C">
        <w:rPr>
          <w:sz w:val="21"/>
          <w:szCs w:val="21"/>
        </w:rPr>
        <w:t>,</w:t>
      </w:r>
      <w:r>
        <w:rPr>
          <w:sz w:val="21"/>
          <w:szCs w:val="21"/>
        </w:rPr>
        <w:t xml:space="preserve"> </w:t>
      </w:r>
      <w:r w:rsidR="003B0D2E">
        <w:rPr>
          <w:sz w:val="21"/>
          <w:szCs w:val="21"/>
        </w:rPr>
        <w:t xml:space="preserve">pour assurer le </w:t>
      </w:r>
      <w:r>
        <w:rPr>
          <w:sz w:val="21"/>
          <w:szCs w:val="21"/>
        </w:rPr>
        <w:t xml:space="preserve">droit </w:t>
      </w:r>
      <w:r w:rsidR="000A7F43">
        <w:rPr>
          <w:sz w:val="21"/>
          <w:szCs w:val="21"/>
        </w:rPr>
        <w:t xml:space="preserve">d’accès aux documents administratifs </w:t>
      </w:r>
      <w:r>
        <w:rPr>
          <w:sz w:val="21"/>
          <w:szCs w:val="21"/>
        </w:rPr>
        <w:t>garanti par l’artic</w:t>
      </w:r>
      <w:r w:rsidR="000A7F43">
        <w:rPr>
          <w:sz w:val="21"/>
          <w:szCs w:val="21"/>
        </w:rPr>
        <w:t xml:space="preserve">le 15 de la Déclaration de 1789, </w:t>
      </w:r>
      <w:r w:rsidR="003B0D2E">
        <w:rPr>
          <w:sz w:val="21"/>
          <w:szCs w:val="21"/>
        </w:rPr>
        <w:t>il appartenait à</w:t>
      </w:r>
      <w:r>
        <w:rPr>
          <w:sz w:val="21"/>
          <w:szCs w:val="21"/>
        </w:rPr>
        <w:t xml:space="preserve"> « </w:t>
      </w:r>
      <w:r w:rsidRPr="00E247ED">
        <w:rPr>
          <w:i/>
          <w:sz w:val="21"/>
          <w:szCs w:val="21"/>
        </w:rPr>
        <w:t xml:space="preserve">chaque établissement de publier, à l’issue de la procédure nationale de préinscription et dans le respect </w:t>
      </w:r>
      <w:r w:rsidR="00106532" w:rsidRPr="00E247ED">
        <w:rPr>
          <w:i/>
          <w:sz w:val="21"/>
          <w:szCs w:val="21"/>
        </w:rPr>
        <w:t>de la vie privée des candidats, le cas échéant sous la forme d’un rapport, les critères en fonction desquels les candidatures ont été examinées et précisant, le cas échéant, dans quelle mesure des traitements algorithmiques ont été utilisés pour procéder à cet examen</w:t>
      </w:r>
      <w:r w:rsidR="00E247ED">
        <w:rPr>
          <w:sz w:val="21"/>
          <w:szCs w:val="21"/>
        </w:rPr>
        <w:t> ».</w:t>
      </w:r>
    </w:p>
    <w:p w14:paraId="4F0BD0FA" w14:textId="12BCE425" w:rsidR="00E247ED" w:rsidRDefault="003B0D2E" w:rsidP="00E247ED">
      <w:pPr>
        <w:pStyle w:val="Default"/>
        <w:spacing w:after="200" w:line="276" w:lineRule="auto"/>
        <w:jc w:val="both"/>
        <w:rPr>
          <w:sz w:val="21"/>
          <w:szCs w:val="21"/>
        </w:rPr>
      </w:pPr>
      <w:r>
        <w:rPr>
          <w:sz w:val="21"/>
          <w:szCs w:val="21"/>
        </w:rPr>
        <w:t xml:space="preserve">Pour </w:t>
      </w:r>
      <w:r w:rsidR="00E247ED">
        <w:rPr>
          <w:sz w:val="21"/>
          <w:szCs w:val="21"/>
        </w:rPr>
        <w:t>l’application</w:t>
      </w:r>
      <w:r>
        <w:rPr>
          <w:sz w:val="21"/>
          <w:szCs w:val="21"/>
        </w:rPr>
        <w:t xml:space="preserve"> concrète de </w:t>
      </w:r>
      <w:r w:rsidR="002E7A75">
        <w:rPr>
          <w:sz w:val="21"/>
          <w:szCs w:val="21"/>
        </w:rPr>
        <w:t xml:space="preserve">cette décision qui </w:t>
      </w:r>
      <w:r>
        <w:rPr>
          <w:sz w:val="21"/>
          <w:szCs w:val="21"/>
        </w:rPr>
        <w:t xml:space="preserve">assure une </w:t>
      </w:r>
      <w:r w:rsidR="00106532">
        <w:rPr>
          <w:sz w:val="21"/>
          <w:szCs w:val="21"/>
        </w:rPr>
        <w:t>transparence</w:t>
      </w:r>
      <w:r>
        <w:rPr>
          <w:sz w:val="21"/>
          <w:szCs w:val="21"/>
        </w:rPr>
        <w:t xml:space="preserve"> renforcée </w:t>
      </w:r>
      <w:r w:rsidR="00643B1A">
        <w:rPr>
          <w:sz w:val="21"/>
          <w:szCs w:val="21"/>
        </w:rPr>
        <w:t xml:space="preserve">à l’égard </w:t>
      </w:r>
      <w:r>
        <w:rPr>
          <w:sz w:val="21"/>
          <w:szCs w:val="21"/>
        </w:rPr>
        <w:t>des tiers sur les modalités et critères d’examen des candidatures effectivement retenus par les formations</w:t>
      </w:r>
      <w:r w:rsidR="00106532">
        <w:rPr>
          <w:sz w:val="21"/>
          <w:szCs w:val="21"/>
        </w:rPr>
        <w:t xml:space="preserve">, </w:t>
      </w:r>
      <w:r>
        <w:rPr>
          <w:sz w:val="21"/>
          <w:szCs w:val="21"/>
        </w:rPr>
        <w:t>des éléments de cadrage du rapport à publier sont définis</w:t>
      </w:r>
      <w:r w:rsidR="00E247ED">
        <w:rPr>
          <w:sz w:val="21"/>
          <w:szCs w:val="21"/>
        </w:rPr>
        <w:t>. Ils sont les</w:t>
      </w:r>
      <w:r w:rsidR="00AC5C58">
        <w:rPr>
          <w:sz w:val="21"/>
          <w:szCs w:val="21"/>
        </w:rPr>
        <w:t xml:space="preserve"> garants de l’homogénéité de la</w:t>
      </w:r>
      <w:r>
        <w:rPr>
          <w:sz w:val="21"/>
          <w:szCs w:val="21"/>
        </w:rPr>
        <w:t xml:space="preserve"> </w:t>
      </w:r>
      <w:r w:rsidR="00E247ED">
        <w:rPr>
          <w:sz w:val="21"/>
          <w:szCs w:val="21"/>
        </w:rPr>
        <w:t>mise en œuvre de la décisi</w:t>
      </w:r>
      <w:r w:rsidR="000A7F43">
        <w:rPr>
          <w:sz w:val="21"/>
          <w:szCs w:val="21"/>
        </w:rPr>
        <w:t>on et de son inscription dans le</w:t>
      </w:r>
      <w:r w:rsidR="00E247ED">
        <w:rPr>
          <w:sz w:val="21"/>
          <w:szCs w:val="21"/>
        </w:rPr>
        <w:t xml:space="preserve"> </w:t>
      </w:r>
      <w:r w:rsidR="00E247ED" w:rsidRPr="00E247ED">
        <w:rPr>
          <w:sz w:val="21"/>
          <w:szCs w:val="21"/>
        </w:rPr>
        <w:t xml:space="preserve">prolongement de l’esprit de la loi </w:t>
      </w:r>
      <w:r w:rsidR="000A7F43">
        <w:rPr>
          <w:sz w:val="21"/>
          <w:szCs w:val="21"/>
        </w:rPr>
        <w:t xml:space="preserve">n° 2018-166 du 8 mars 2018 </w:t>
      </w:r>
      <w:r w:rsidR="00E247ED" w:rsidRPr="00E247ED">
        <w:rPr>
          <w:sz w:val="21"/>
          <w:szCs w:val="21"/>
        </w:rPr>
        <w:t xml:space="preserve">relative à l’orientation et à la réussite des étudiants </w:t>
      </w:r>
      <w:r w:rsidR="000A7F43">
        <w:rPr>
          <w:sz w:val="21"/>
          <w:szCs w:val="21"/>
        </w:rPr>
        <w:t>(loi ORE)</w:t>
      </w:r>
      <w:r w:rsidR="00E247ED" w:rsidRPr="00E247ED">
        <w:rPr>
          <w:sz w:val="21"/>
          <w:szCs w:val="21"/>
        </w:rPr>
        <w:t xml:space="preserve"> et des initiatives prises depuis 2018 pour renforcer la transparence de la procédure d’accès à l’enseignement supérieur</w:t>
      </w:r>
      <w:r w:rsidR="00E247ED">
        <w:rPr>
          <w:sz w:val="21"/>
          <w:szCs w:val="21"/>
        </w:rPr>
        <w:t>.</w:t>
      </w:r>
    </w:p>
    <w:p w14:paraId="2C5D4635" w14:textId="77777777" w:rsidR="003B1427" w:rsidRPr="00E247ED" w:rsidRDefault="003B1427" w:rsidP="00E247ED">
      <w:pPr>
        <w:pStyle w:val="Default"/>
        <w:rPr>
          <w:sz w:val="16"/>
          <w:szCs w:val="16"/>
        </w:rPr>
      </w:pPr>
    </w:p>
    <w:p w14:paraId="115B17C1" w14:textId="1DFDAD42" w:rsidR="003B1427" w:rsidRDefault="0063433B" w:rsidP="00F93A8B">
      <w:pPr>
        <w:pStyle w:val="Default"/>
        <w:numPr>
          <w:ilvl w:val="0"/>
          <w:numId w:val="6"/>
        </w:numPr>
        <w:rPr>
          <w:color w:val="3C556D"/>
          <w:sz w:val="32"/>
          <w:szCs w:val="32"/>
        </w:rPr>
      </w:pPr>
      <w:r>
        <w:rPr>
          <w:color w:val="3C556D"/>
          <w:sz w:val="32"/>
          <w:szCs w:val="32"/>
        </w:rPr>
        <w:t>Définition</w:t>
      </w:r>
      <w:r w:rsidR="00E1079B">
        <w:rPr>
          <w:color w:val="3C556D"/>
          <w:sz w:val="32"/>
          <w:szCs w:val="32"/>
        </w:rPr>
        <w:t xml:space="preserve"> et </w:t>
      </w:r>
      <w:r w:rsidR="00E0778A">
        <w:rPr>
          <w:color w:val="3C556D"/>
          <w:sz w:val="32"/>
          <w:szCs w:val="32"/>
        </w:rPr>
        <w:t>périmètre</w:t>
      </w:r>
      <w:r w:rsidR="00634E54">
        <w:rPr>
          <w:color w:val="3C556D"/>
          <w:sz w:val="32"/>
          <w:szCs w:val="32"/>
        </w:rPr>
        <w:t xml:space="preserve"> du rapport public</w:t>
      </w:r>
    </w:p>
    <w:p w14:paraId="6EAAF8F0" w14:textId="77777777" w:rsidR="003B1427" w:rsidRPr="00252A6F" w:rsidRDefault="003B1427" w:rsidP="003B1427">
      <w:pPr>
        <w:pStyle w:val="Default"/>
        <w:rPr>
          <w:color w:val="3C556D"/>
          <w:sz w:val="28"/>
          <w:szCs w:val="28"/>
        </w:rPr>
      </w:pPr>
    </w:p>
    <w:p w14:paraId="3FAC2288" w14:textId="5C60F6D4" w:rsidR="00E1079B" w:rsidRPr="00E1079B" w:rsidRDefault="002E7A75" w:rsidP="00E1079B">
      <w:pPr>
        <w:pStyle w:val="Default"/>
        <w:spacing w:after="200" w:line="276" w:lineRule="auto"/>
        <w:jc w:val="both"/>
        <w:rPr>
          <w:sz w:val="21"/>
          <w:szCs w:val="21"/>
        </w:rPr>
      </w:pPr>
      <w:r>
        <w:rPr>
          <w:sz w:val="21"/>
          <w:szCs w:val="21"/>
        </w:rPr>
        <w:t>L</w:t>
      </w:r>
      <w:r w:rsidR="00E1079B">
        <w:rPr>
          <w:sz w:val="21"/>
          <w:szCs w:val="21"/>
        </w:rPr>
        <w:t>’exigence d</w:t>
      </w:r>
      <w:r>
        <w:rPr>
          <w:sz w:val="21"/>
          <w:szCs w:val="21"/>
        </w:rPr>
        <w:t xml:space="preserve">e </w:t>
      </w:r>
      <w:r w:rsidR="00E1079B">
        <w:rPr>
          <w:sz w:val="21"/>
          <w:szCs w:val="21"/>
        </w:rPr>
        <w:t xml:space="preserve">publication d’un </w:t>
      </w:r>
      <w:r>
        <w:rPr>
          <w:sz w:val="21"/>
          <w:szCs w:val="21"/>
        </w:rPr>
        <w:t xml:space="preserve">rapport </w:t>
      </w:r>
      <w:r w:rsidR="001044AF">
        <w:rPr>
          <w:sz w:val="21"/>
          <w:szCs w:val="21"/>
        </w:rPr>
        <w:t>public d’examen des vœux</w:t>
      </w:r>
      <w:r w:rsidR="009D307B">
        <w:rPr>
          <w:sz w:val="21"/>
          <w:szCs w:val="21"/>
        </w:rPr>
        <w:t xml:space="preserve"> </w:t>
      </w:r>
      <w:r w:rsidR="00E1079B">
        <w:rPr>
          <w:sz w:val="21"/>
          <w:szCs w:val="21"/>
        </w:rPr>
        <w:t xml:space="preserve">concerne </w:t>
      </w:r>
      <w:r w:rsidR="001044AF" w:rsidRPr="001044AF">
        <w:rPr>
          <w:b/>
          <w:sz w:val="21"/>
          <w:szCs w:val="21"/>
        </w:rPr>
        <w:t>chaque</w:t>
      </w:r>
      <w:r w:rsidR="00E1079B" w:rsidRPr="001044AF">
        <w:rPr>
          <w:b/>
          <w:sz w:val="21"/>
          <w:szCs w:val="21"/>
        </w:rPr>
        <w:t xml:space="preserve"> formation initiale, publique ou privée, sélective ou non sélective, inscrite sur la plateforme</w:t>
      </w:r>
      <w:r w:rsidR="00E1079B">
        <w:rPr>
          <w:sz w:val="21"/>
          <w:szCs w:val="21"/>
        </w:rPr>
        <w:t xml:space="preserve"> nationale de préinscription Parcoursup.</w:t>
      </w:r>
      <w:r w:rsidR="007F0387">
        <w:rPr>
          <w:sz w:val="21"/>
          <w:szCs w:val="21"/>
        </w:rPr>
        <w:t xml:space="preserve"> </w:t>
      </w:r>
      <w:r w:rsidR="00E1079B">
        <w:rPr>
          <w:sz w:val="21"/>
          <w:szCs w:val="21"/>
        </w:rPr>
        <w:t xml:space="preserve">Toutefois, </w:t>
      </w:r>
      <w:r w:rsidR="00E1079B" w:rsidRPr="001044AF">
        <w:rPr>
          <w:b/>
          <w:sz w:val="21"/>
          <w:szCs w:val="21"/>
        </w:rPr>
        <w:t>elle ne concerne pas les formations par apprentissage</w:t>
      </w:r>
      <w:r w:rsidR="00E1079B">
        <w:rPr>
          <w:sz w:val="21"/>
          <w:szCs w:val="21"/>
        </w:rPr>
        <w:t xml:space="preserve"> lorsque l’</w:t>
      </w:r>
      <w:r w:rsidR="00E1079B" w:rsidRPr="00E1079B">
        <w:rPr>
          <w:sz w:val="21"/>
          <w:szCs w:val="21"/>
        </w:rPr>
        <w:t xml:space="preserve">établissement a choisi de ne pas examiner les dossiers ou de les examiner mais sans </w:t>
      </w:r>
      <w:r w:rsidR="00E1079B" w:rsidRPr="00E0778A">
        <w:rPr>
          <w:sz w:val="21"/>
          <w:szCs w:val="21"/>
        </w:rPr>
        <w:t>ordonner les candidatures.</w:t>
      </w:r>
    </w:p>
    <w:p w14:paraId="54985587" w14:textId="18D4679F" w:rsidR="00BD364B" w:rsidRDefault="00183C8A" w:rsidP="00BD364B">
      <w:pPr>
        <w:pStyle w:val="Default"/>
        <w:spacing w:after="200" w:line="276" w:lineRule="auto"/>
        <w:jc w:val="both"/>
        <w:rPr>
          <w:sz w:val="21"/>
          <w:szCs w:val="21"/>
        </w:rPr>
      </w:pPr>
      <w:r>
        <w:rPr>
          <w:sz w:val="21"/>
          <w:szCs w:val="21"/>
        </w:rPr>
        <w:t>Le rapport, signé par le chef d’établissement, est rédigé à partir des éléments fournis par :</w:t>
      </w:r>
    </w:p>
    <w:p w14:paraId="731611AD" w14:textId="534A8D3D" w:rsidR="00BD364B" w:rsidRDefault="00BD364B" w:rsidP="00BD364B">
      <w:pPr>
        <w:pStyle w:val="Default"/>
        <w:numPr>
          <w:ilvl w:val="0"/>
          <w:numId w:val="12"/>
        </w:numPr>
        <w:spacing w:after="200" w:line="276" w:lineRule="auto"/>
        <w:jc w:val="both"/>
        <w:rPr>
          <w:sz w:val="21"/>
          <w:szCs w:val="21"/>
        </w:rPr>
      </w:pPr>
      <w:r>
        <w:rPr>
          <w:sz w:val="21"/>
          <w:szCs w:val="21"/>
        </w:rPr>
        <w:t>la commission d’examen des vœux mentionnée au deuxième alinéa de l’article D. 612-1-13 du code de l’éducation, s’agissant des formations non sélectives ;</w:t>
      </w:r>
    </w:p>
    <w:p w14:paraId="30B120CB" w14:textId="2EC5EBA7" w:rsidR="00BD364B" w:rsidRDefault="00AC5C58" w:rsidP="00BD364B">
      <w:pPr>
        <w:pStyle w:val="Default"/>
        <w:numPr>
          <w:ilvl w:val="0"/>
          <w:numId w:val="12"/>
        </w:numPr>
        <w:spacing w:after="200" w:line="276" w:lineRule="auto"/>
        <w:jc w:val="both"/>
        <w:rPr>
          <w:sz w:val="21"/>
          <w:szCs w:val="21"/>
        </w:rPr>
      </w:pPr>
      <w:r>
        <w:rPr>
          <w:noProof/>
          <w:lang w:eastAsia="fr-FR"/>
        </w:rPr>
        <w:lastRenderedPageBreak/>
        <w:drawing>
          <wp:anchor distT="0" distB="0" distL="114300" distR="114300" simplePos="0" relativeHeight="251673600" behindDoc="0" locked="0" layoutInCell="1" allowOverlap="1" wp14:anchorId="59D09DBB" wp14:editId="1EB41B2E">
            <wp:simplePos x="0" y="0"/>
            <wp:positionH relativeFrom="column">
              <wp:posOffset>5833649</wp:posOffset>
            </wp:positionH>
            <wp:positionV relativeFrom="paragraph">
              <wp:posOffset>-601957</wp:posOffset>
            </wp:positionV>
            <wp:extent cx="656590" cy="49149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59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372">
        <w:rPr>
          <w:sz w:val="21"/>
          <w:szCs w:val="21"/>
        </w:rPr>
        <w:t xml:space="preserve">la commission d’examen des vœux ou </w:t>
      </w:r>
      <w:r w:rsidR="00BD364B">
        <w:rPr>
          <w:sz w:val="21"/>
          <w:szCs w:val="21"/>
        </w:rPr>
        <w:t xml:space="preserve">l’autorité </w:t>
      </w:r>
      <w:r w:rsidR="00E96372">
        <w:rPr>
          <w:sz w:val="21"/>
          <w:szCs w:val="21"/>
        </w:rPr>
        <w:t xml:space="preserve">équivalente </w:t>
      </w:r>
      <w:r w:rsidR="00BD364B">
        <w:rPr>
          <w:sz w:val="21"/>
          <w:szCs w:val="21"/>
        </w:rPr>
        <w:t>compétente pour procéder à l’examen des candidatures, s’agissant des formations sélectives me</w:t>
      </w:r>
      <w:r w:rsidR="00E96372">
        <w:rPr>
          <w:sz w:val="21"/>
          <w:szCs w:val="21"/>
        </w:rPr>
        <w:t>ntionnées au VI de l’article L. </w:t>
      </w:r>
      <w:r w:rsidR="00BD364B">
        <w:rPr>
          <w:sz w:val="21"/>
          <w:szCs w:val="21"/>
        </w:rPr>
        <w:t>612-3 du code de l’éducation</w:t>
      </w:r>
      <w:r w:rsidR="001044AF">
        <w:rPr>
          <w:sz w:val="21"/>
          <w:szCs w:val="21"/>
        </w:rPr>
        <w:t> </w:t>
      </w:r>
      <w:r w:rsidR="00BD364B">
        <w:rPr>
          <w:rStyle w:val="Appelnotedebasdep"/>
          <w:sz w:val="21"/>
          <w:szCs w:val="21"/>
        </w:rPr>
        <w:footnoteReference w:id="1"/>
      </w:r>
      <w:r w:rsidR="00BD364B" w:rsidRPr="002F0367">
        <w:rPr>
          <w:sz w:val="21"/>
          <w:szCs w:val="21"/>
        </w:rPr>
        <w:t>.</w:t>
      </w:r>
    </w:p>
    <w:p w14:paraId="0499C505" w14:textId="1A2800FF" w:rsidR="00ED4981" w:rsidRDefault="00ED4981" w:rsidP="00ED4981">
      <w:pPr>
        <w:pStyle w:val="Default"/>
        <w:pBdr>
          <w:top w:val="single" w:sz="4" w:space="1" w:color="auto" w:shadow="1"/>
          <w:left w:val="single" w:sz="4" w:space="4" w:color="auto" w:shadow="1"/>
          <w:bottom w:val="single" w:sz="4" w:space="1" w:color="auto" w:shadow="1"/>
          <w:right w:val="single" w:sz="4" w:space="4" w:color="auto" w:shadow="1"/>
        </w:pBdr>
        <w:spacing w:after="200" w:line="276" w:lineRule="auto"/>
        <w:jc w:val="both"/>
        <w:rPr>
          <w:sz w:val="21"/>
          <w:szCs w:val="21"/>
        </w:rPr>
      </w:pPr>
      <w:r w:rsidRPr="00ED4981">
        <w:rPr>
          <w:b/>
          <w:sz w:val="21"/>
          <w:szCs w:val="21"/>
        </w:rPr>
        <w:t xml:space="preserve">Il est </w:t>
      </w:r>
      <w:r>
        <w:rPr>
          <w:b/>
          <w:sz w:val="21"/>
          <w:szCs w:val="21"/>
        </w:rPr>
        <w:t xml:space="preserve">vivement </w:t>
      </w:r>
      <w:r w:rsidRPr="00ED4981">
        <w:rPr>
          <w:b/>
          <w:sz w:val="21"/>
          <w:szCs w:val="21"/>
        </w:rPr>
        <w:t>recommandé que les éléments du tableau synoptique puissent être préparés par la commission d’examen des vœux à l’issue de l’examen des candidatures de manière à faciliter la production à l’issue de la procédure Parcoursup.</w:t>
      </w:r>
    </w:p>
    <w:p w14:paraId="55FB9949" w14:textId="156AA43D" w:rsidR="00634E54" w:rsidRDefault="00BD364B" w:rsidP="00A439CF">
      <w:pPr>
        <w:pStyle w:val="Default"/>
        <w:spacing w:after="200" w:line="276" w:lineRule="auto"/>
        <w:jc w:val="both"/>
        <w:rPr>
          <w:sz w:val="21"/>
          <w:szCs w:val="21"/>
        </w:rPr>
      </w:pPr>
      <w:r>
        <w:rPr>
          <w:sz w:val="21"/>
          <w:szCs w:val="21"/>
        </w:rPr>
        <w:t xml:space="preserve">Ce rapport </w:t>
      </w:r>
      <w:r w:rsidR="007F0387">
        <w:rPr>
          <w:sz w:val="21"/>
          <w:szCs w:val="21"/>
        </w:rPr>
        <w:t>est rendu public dans les conditions mentionnées au point 5 ci-après.</w:t>
      </w:r>
      <w:r w:rsidR="00E96372">
        <w:rPr>
          <w:sz w:val="21"/>
          <w:szCs w:val="21"/>
        </w:rPr>
        <w:t xml:space="preserve"> Il </w:t>
      </w:r>
      <w:r w:rsidR="007F0387">
        <w:rPr>
          <w:sz w:val="21"/>
          <w:szCs w:val="21"/>
        </w:rPr>
        <w:t xml:space="preserve">est publié en préservant </w:t>
      </w:r>
      <w:r w:rsidR="007F0387" w:rsidRPr="007F0387">
        <w:rPr>
          <w:sz w:val="21"/>
          <w:szCs w:val="21"/>
        </w:rPr>
        <w:t>la vie privée des candidats. Il a donc un caractère général</w:t>
      </w:r>
      <w:r w:rsidR="007F0387">
        <w:rPr>
          <w:sz w:val="21"/>
          <w:szCs w:val="21"/>
        </w:rPr>
        <w:t xml:space="preserve"> et ne porte pas d’appréciation sur les motifs qui justifient la décision prise à l’égard de tel ou tel candidat.</w:t>
      </w:r>
    </w:p>
    <w:p w14:paraId="3BF90717" w14:textId="56BF34BD" w:rsidR="007F0387" w:rsidRDefault="007F0387" w:rsidP="007F0387">
      <w:pPr>
        <w:pStyle w:val="Default"/>
        <w:spacing w:after="200" w:line="276" w:lineRule="auto"/>
        <w:jc w:val="both"/>
        <w:rPr>
          <w:sz w:val="21"/>
          <w:szCs w:val="21"/>
        </w:rPr>
      </w:pPr>
      <w:r>
        <w:rPr>
          <w:sz w:val="21"/>
          <w:szCs w:val="21"/>
        </w:rPr>
        <w:t xml:space="preserve">Tout en participant de la même démarche de transparence promue par </w:t>
      </w:r>
      <w:r w:rsidRPr="00E247ED">
        <w:rPr>
          <w:sz w:val="21"/>
          <w:szCs w:val="21"/>
        </w:rPr>
        <w:t xml:space="preserve">la loi </w:t>
      </w:r>
      <w:r w:rsidR="00BD364B">
        <w:rPr>
          <w:sz w:val="21"/>
          <w:szCs w:val="21"/>
        </w:rPr>
        <w:t xml:space="preserve">du 8 mars 2018 </w:t>
      </w:r>
      <w:r w:rsidRPr="00E247ED">
        <w:rPr>
          <w:sz w:val="21"/>
          <w:szCs w:val="21"/>
        </w:rPr>
        <w:t>relative à l’orientation et à la réussite des étudiants du 8 mars 2018</w:t>
      </w:r>
      <w:r>
        <w:rPr>
          <w:sz w:val="21"/>
          <w:szCs w:val="21"/>
        </w:rPr>
        <w:t xml:space="preserve">, le rapport public </w:t>
      </w:r>
      <w:r w:rsidR="001044AF">
        <w:rPr>
          <w:sz w:val="21"/>
          <w:szCs w:val="21"/>
        </w:rPr>
        <w:t xml:space="preserve">d’examen des vœux </w:t>
      </w:r>
      <w:r>
        <w:rPr>
          <w:sz w:val="21"/>
          <w:szCs w:val="21"/>
        </w:rPr>
        <w:t>se distingue :</w:t>
      </w:r>
    </w:p>
    <w:p w14:paraId="5D74B76D" w14:textId="256F5371" w:rsidR="00643B1A" w:rsidRDefault="007D409F" w:rsidP="00643B1A">
      <w:pPr>
        <w:pStyle w:val="Default"/>
        <w:numPr>
          <w:ilvl w:val="0"/>
          <w:numId w:val="11"/>
        </w:numPr>
        <w:spacing w:after="200" w:line="276" w:lineRule="auto"/>
        <w:jc w:val="both"/>
        <w:rPr>
          <w:sz w:val="21"/>
          <w:szCs w:val="21"/>
        </w:rPr>
      </w:pPr>
      <w:r>
        <w:rPr>
          <w:sz w:val="21"/>
          <w:szCs w:val="21"/>
        </w:rPr>
        <w:t>d</w:t>
      </w:r>
      <w:r w:rsidR="00643B1A">
        <w:rPr>
          <w:sz w:val="21"/>
          <w:szCs w:val="21"/>
        </w:rPr>
        <w:t xml:space="preserve">es attendus nationaux établis par arrêté publié au </w:t>
      </w:r>
      <w:r w:rsidR="000A7F43">
        <w:rPr>
          <w:sz w:val="21"/>
          <w:szCs w:val="21"/>
        </w:rPr>
        <w:t>Journal officiel de la République française (</w:t>
      </w:r>
      <w:r w:rsidR="00643B1A">
        <w:rPr>
          <w:sz w:val="21"/>
          <w:szCs w:val="21"/>
        </w:rPr>
        <w:t>JORF</w:t>
      </w:r>
      <w:r w:rsidR="000A7F43">
        <w:rPr>
          <w:sz w:val="21"/>
          <w:szCs w:val="21"/>
        </w:rPr>
        <w:t>)</w:t>
      </w:r>
      <w:r w:rsidR="00643B1A">
        <w:rPr>
          <w:sz w:val="21"/>
          <w:szCs w:val="21"/>
        </w:rPr>
        <w:t xml:space="preserve"> et consultables sur la plateforme Parcoursup pour l’information des candidats sur les compétences et connaissances nécessaires pour réussir dans une formation donnée ;</w:t>
      </w:r>
    </w:p>
    <w:p w14:paraId="03641D13" w14:textId="2A38BB06" w:rsidR="007F0387" w:rsidRDefault="007D409F" w:rsidP="00643B1A">
      <w:pPr>
        <w:pStyle w:val="Default"/>
        <w:numPr>
          <w:ilvl w:val="0"/>
          <w:numId w:val="11"/>
        </w:numPr>
        <w:spacing w:after="200" w:line="276" w:lineRule="auto"/>
        <w:jc w:val="both"/>
        <w:rPr>
          <w:sz w:val="21"/>
          <w:szCs w:val="21"/>
        </w:rPr>
      </w:pPr>
      <w:r>
        <w:rPr>
          <w:sz w:val="21"/>
          <w:szCs w:val="21"/>
        </w:rPr>
        <w:t>d</w:t>
      </w:r>
      <w:r w:rsidR="00643B1A">
        <w:rPr>
          <w:sz w:val="21"/>
          <w:szCs w:val="21"/>
        </w:rPr>
        <w:t xml:space="preserve">es attendus locaux </w:t>
      </w:r>
      <w:r w:rsidR="00E20BA7">
        <w:rPr>
          <w:sz w:val="21"/>
          <w:szCs w:val="21"/>
        </w:rPr>
        <w:t xml:space="preserve">et </w:t>
      </w:r>
      <w:r w:rsidR="00643B1A">
        <w:rPr>
          <w:sz w:val="21"/>
          <w:szCs w:val="21"/>
        </w:rPr>
        <w:t xml:space="preserve">critères généraux d’examens des vœux (CGEV) établis par chaque formation dans le cadre de la phase de paramétrage et rendus publics </w:t>
      </w:r>
      <w:r w:rsidR="001E7590">
        <w:rPr>
          <w:sz w:val="21"/>
          <w:szCs w:val="21"/>
        </w:rPr>
        <w:t>à l’ouverture de la plateforme P</w:t>
      </w:r>
      <w:r w:rsidR="00643B1A">
        <w:rPr>
          <w:sz w:val="21"/>
          <w:szCs w:val="21"/>
        </w:rPr>
        <w:t>arcoursup pour assure</w:t>
      </w:r>
      <w:r w:rsidR="00E20BA7">
        <w:rPr>
          <w:sz w:val="21"/>
          <w:szCs w:val="21"/>
        </w:rPr>
        <w:t>r</w:t>
      </w:r>
      <w:r w:rsidR="00643B1A">
        <w:rPr>
          <w:sz w:val="21"/>
          <w:szCs w:val="21"/>
        </w:rPr>
        <w:t xml:space="preserve"> une meilleure orientation des candidats</w:t>
      </w:r>
      <w:r w:rsidR="00E20BA7">
        <w:rPr>
          <w:sz w:val="21"/>
          <w:szCs w:val="21"/>
        </w:rPr>
        <w:t> ;</w:t>
      </w:r>
    </w:p>
    <w:p w14:paraId="77306CF1" w14:textId="64F764B0" w:rsidR="007F0387" w:rsidRDefault="007F0387" w:rsidP="00E20BA7">
      <w:pPr>
        <w:pStyle w:val="Default"/>
        <w:numPr>
          <w:ilvl w:val="0"/>
          <w:numId w:val="11"/>
        </w:numPr>
        <w:spacing w:after="200" w:line="276" w:lineRule="auto"/>
        <w:jc w:val="both"/>
        <w:rPr>
          <w:sz w:val="21"/>
          <w:szCs w:val="21"/>
        </w:rPr>
      </w:pPr>
      <w:r>
        <w:rPr>
          <w:sz w:val="21"/>
          <w:szCs w:val="21"/>
        </w:rPr>
        <w:t xml:space="preserve">des réponses </w:t>
      </w:r>
      <w:r w:rsidR="00E20BA7">
        <w:rPr>
          <w:sz w:val="21"/>
          <w:szCs w:val="21"/>
        </w:rPr>
        <w:t xml:space="preserve">apportées par les formations </w:t>
      </w:r>
      <w:r w:rsidR="007D409F">
        <w:rPr>
          <w:sz w:val="21"/>
          <w:szCs w:val="21"/>
        </w:rPr>
        <w:t>aux éventuelles demandes de candidats refusés formulées</w:t>
      </w:r>
      <w:r w:rsidR="00E20BA7">
        <w:rPr>
          <w:sz w:val="21"/>
          <w:szCs w:val="21"/>
        </w:rPr>
        <w:t xml:space="preserve"> au titre du droit, garanti par la loi du 8 mars 2018, à l’information sur les modalités et critères d’examen des vœux et sur les motifs qui justifient la décision prise à leur égard.</w:t>
      </w:r>
    </w:p>
    <w:p w14:paraId="2156AAD7" w14:textId="6D2673AC" w:rsidR="009D307B" w:rsidRPr="00E20BA7" w:rsidRDefault="009D307B" w:rsidP="00E20BA7">
      <w:pPr>
        <w:pStyle w:val="Default"/>
        <w:rPr>
          <w:sz w:val="16"/>
          <w:szCs w:val="16"/>
        </w:rPr>
      </w:pPr>
    </w:p>
    <w:p w14:paraId="528516DB" w14:textId="672860D2" w:rsidR="00C71D06" w:rsidRDefault="0014304C" w:rsidP="00F93A8B">
      <w:pPr>
        <w:pStyle w:val="Default"/>
        <w:numPr>
          <w:ilvl w:val="0"/>
          <w:numId w:val="6"/>
        </w:numPr>
        <w:rPr>
          <w:color w:val="3C556D"/>
          <w:sz w:val="32"/>
          <w:szCs w:val="32"/>
        </w:rPr>
      </w:pPr>
      <w:r>
        <w:rPr>
          <w:color w:val="3C556D"/>
          <w:sz w:val="32"/>
          <w:szCs w:val="32"/>
        </w:rPr>
        <w:t>Contenu</w:t>
      </w:r>
      <w:r w:rsidR="00634E54">
        <w:rPr>
          <w:color w:val="3C556D"/>
          <w:sz w:val="32"/>
          <w:szCs w:val="32"/>
        </w:rPr>
        <w:t xml:space="preserve"> du rapport </w:t>
      </w:r>
    </w:p>
    <w:p w14:paraId="56CAAD98" w14:textId="77777777" w:rsidR="00C71D06" w:rsidRPr="00252A6F" w:rsidRDefault="00C71D06" w:rsidP="00C71D06">
      <w:pPr>
        <w:pStyle w:val="Default"/>
        <w:rPr>
          <w:color w:val="3C556D"/>
          <w:sz w:val="28"/>
          <w:szCs w:val="28"/>
        </w:rPr>
      </w:pPr>
    </w:p>
    <w:p w14:paraId="1C21381F" w14:textId="0C43B7B7" w:rsidR="007F0387" w:rsidRPr="009B5BC6" w:rsidRDefault="00863247" w:rsidP="007F0387">
      <w:pPr>
        <w:pStyle w:val="Default"/>
        <w:spacing w:after="200" w:line="276" w:lineRule="auto"/>
        <w:jc w:val="both"/>
        <w:rPr>
          <w:b/>
          <w:sz w:val="21"/>
          <w:szCs w:val="21"/>
        </w:rPr>
      </w:pPr>
      <w:r>
        <w:rPr>
          <w:sz w:val="21"/>
          <w:szCs w:val="21"/>
        </w:rPr>
        <w:t xml:space="preserve">Le rapport </w:t>
      </w:r>
      <w:r w:rsidR="001044AF">
        <w:rPr>
          <w:sz w:val="21"/>
          <w:szCs w:val="21"/>
        </w:rPr>
        <w:t xml:space="preserve">public d’examen des vœux </w:t>
      </w:r>
      <w:r w:rsidR="007F0387">
        <w:rPr>
          <w:sz w:val="21"/>
          <w:szCs w:val="21"/>
        </w:rPr>
        <w:t xml:space="preserve">prend la forme d’un texte </w:t>
      </w:r>
      <w:r w:rsidR="004014E9">
        <w:rPr>
          <w:sz w:val="21"/>
          <w:szCs w:val="21"/>
        </w:rPr>
        <w:t xml:space="preserve">introductif </w:t>
      </w:r>
      <w:r>
        <w:rPr>
          <w:sz w:val="21"/>
          <w:szCs w:val="21"/>
        </w:rPr>
        <w:t xml:space="preserve">donnant des éléments généraux de bilan de la procédure </w:t>
      </w:r>
      <w:r w:rsidR="00BD364B">
        <w:rPr>
          <w:sz w:val="21"/>
          <w:szCs w:val="21"/>
        </w:rPr>
        <w:t>de l’année en cours,</w:t>
      </w:r>
      <w:r>
        <w:rPr>
          <w:sz w:val="21"/>
          <w:szCs w:val="21"/>
        </w:rPr>
        <w:t xml:space="preserve"> de recommandations </w:t>
      </w:r>
      <w:r w:rsidR="00BD364B">
        <w:rPr>
          <w:sz w:val="21"/>
          <w:szCs w:val="21"/>
        </w:rPr>
        <w:t>destinées aux candidats qui souhaitent postuler pour cette formation</w:t>
      </w:r>
      <w:r w:rsidR="00AD31F9">
        <w:rPr>
          <w:sz w:val="21"/>
          <w:szCs w:val="21"/>
        </w:rPr>
        <w:t xml:space="preserve"> et </w:t>
      </w:r>
      <w:r>
        <w:rPr>
          <w:sz w:val="21"/>
          <w:szCs w:val="21"/>
        </w:rPr>
        <w:t>d’un tableau</w:t>
      </w:r>
      <w:r w:rsidRPr="00863247">
        <w:rPr>
          <w:sz w:val="21"/>
          <w:szCs w:val="21"/>
        </w:rPr>
        <w:t xml:space="preserve"> </w:t>
      </w:r>
      <w:r w:rsidR="004014E9">
        <w:rPr>
          <w:sz w:val="21"/>
          <w:szCs w:val="21"/>
        </w:rPr>
        <w:t>syn</w:t>
      </w:r>
      <w:r w:rsidR="00AD31F9">
        <w:rPr>
          <w:sz w:val="21"/>
          <w:szCs w:val="21"/>
        </w:rPr>
        <w:t>optique</w:t>
      </w:r>
      <w:r w:rsidR="004014E9">
        <w:rPr>
          <w:sz w:val="21"/>
          <w:szCs w:val="21"/>
        </w:rPr>
        <w:t xml:space="preserve"> </w:t>
      </w:r>
      <w:r>
        <w:rPr>
          <w:sz w:val="21"/>
          <w:szCs w:val="21"/>
        </w:rPr>
        <w:t>(</w:t>
      </w:r>
      <w:r w:rsidR="004014E9" w:rsidRPr="007D409F">
        <w:rPr>
          <w:i/>
          <w:sz w:val="21"/>
          <w:szCs w:val="21"/>
        </w:rPr>
        <w:t>cf</w:t>
      </w:r>
      <w:r w:rsidR="004014E9">
        <w:rPr>
          <w:sz w:val="21"/>
          <w:szCs w:val="21"/>
        </w:rPr>
        <w:t>. </w:t>
      </w:r>
      <w:r>
        <w:rPr>
          <w:sz w:val="21"/>
          <w:szCs w:val="21"/>
        </w:rPr>
        <w:t>annexe).</w:t>
      </w:r>
      <w:r w:rsidR="00BD364B">
        <w:rPr>
          <w:sz w:val="21"/>
          <w:szCs w:val="21"/>
        </w:rPr>
        <w:t xml:space="preserve"> </w:t>
      </w:r>
      <w:r w:rsidR="00BD364B" w:rsidRPr="009B5BC6">
        <w:rPr>
          <w:b/>
          <w:sz w:val="21"/>
          <w:szCs w:val="21"/>
        </w:rPr>
        <w:t>Il a finalité informative et pédagogique.</w:t>
      </w:r>
    </w:p>
    <w:p w14:paraId="58D54662" w14:textId="230298EA" w:rsidR="0014304C" w:rsidRDefault="00B332AC" w:rsidP="00863247">
      <w:pPr>
        <w:pStyle w:val="Default"/>
        <w:spacing w:after="200" w:line="276" w:lineRule="auto"/>
        <w:jc w:val="both"/>
        <w:rPr>
          <w:sz w:val="21"/>
          <w:szCs w:val="21"/>
        </w:rPr>
      </w:pPr>
      <w:r w:rsidRPr="00AD31F9">
        <w:rPr>
          <w:b/>
          <w:sz w:val="21"/>
          <w:szCs w:val="21"/>
        </w:rPr>
        <w:t xml:space="preserve">Le texte </w:t>
      </w:r>
      <w:r w:rsidR="00AD31F9">
        <w:rPr>
          <w:b/>
          <w:sz w:val="21"/>
          <w:szCs w:val="21"/>
        </w:rPr>
        <w:t>introductif</w:t>
      </w:r>
      <w:r w:rsidR="007800F3" w:rsidRPr="00AD31F9">
        <w:rPr>
          <w:b/>
          <w:sz w:val="21"/>
          <w:szCs w:val="21"/>
        </w:rPr>
        <w:t xml:space="preserve"> du</w:t>
      </w:r>
      <w:r w:rsidR="0014304C" w:rsidRPr="00AD31F9">
        <w:rPr>
          <w:b/>
          <w:sz w:val="21"/>
          <w:szCs w:val="21"/>
        </w:rPr>
        <w:t xml:space="preserve"> rapport</w:t>
      </w:r>
      <w:r w:rsidR="0014304C">
        <w:rPr>
          <w:sz w:val="21"/>
          <w:szCs w:val="21"/>
        </w:rPr>
        <w:t xml:space="preserve"> </w:t>
      </w:r>
      <w:r w:rsidR="007800F3">
        <w:rPr>
          <w:sz w:val="21"/>
          <w:szCs w:val="21"/>
        </w:rPr>
        <w:t>présente :</w:t>
      </w:r>
    </w:p>
    <w:p w14:paraId="358DE277" w14:textId="0ACE3088" w:rsidR="004014E9" w:rsidRDefault="007D409F" w:rsidP="00E96372">
      <w:pPr>
        <w:pStyle w:val="Default"/>
        <w:numPr>
          <w:ilvl w:val="0"/>
          <w:numId w:val="11"/>
        </w:numPr>
        <w:spacing w:after="200"/>
        <w:ind w:left="714" w:hanging="357"/>
        <w:jc w:val="both"/>
        <w:rPr>
          <w:sz w:val="21"/>
          <w:szCs w:val="21"/>
        </w:rPr>
      </w:pPr>
      <w:r>
        <w:rPr>
          <w:sz w:val="21"/>
          <w:szCs w:val="21"/>
        </w:rPr>
        <w:t>l</w:t>
      </w:r>
      <w:r w:rsidR="004014E9">
        <w:rPr>
          <w:sz w:val="21"/>
          <w:szCs w:val="21"/>
        </w:rPr>
        <w:t>es donnée</w:t>
      </w:r>
      <w:r>
        <w:rPr>
          <w:sz w:val="21"/>
          <w:szCs w:val="21"/>
        </w:rPr>
        <w:t>s principales de la procédure (</w:t>
      </w:r>
      <w:r w:rsidR="004014E9">
        <w:rPr>
          <w:sz w:val="21"/>
          <w:szCs w:val="21"/>
        </w:rPr>
        <w:t xml:space="preserve">nombre de </w:t>
      </w:r>
      <w:r w:rsidR="00A9169C">
        <w:rPr>
          <w:sz w:val="21"/>
          <w:szCs w:val="21"/>
        </w:rPr>
        <w:t xml:space="preserve">vœux confirmés, nombre de places proposées, </w:t>
      </w:r>
      <w:r w:rsidR="00A9169C" w:rsidRPr="00A9169C">
        <w:rPr>
          <w:sz w:val="21"/>
          <w:szCs w:val="21"/>
        </w:rPr>
        <w:t>nombre de candidats ayant reçu une proposition</w:t>
      </w:r>
      <w:r>
        <w:rPr>
          <w:sz w:val="21"/>
          <w:szCs w:val="21"/>
        </w:rPr>
        <w:t xml:space="preserve"> d’admission l’année précédente</w:t>
      </w:r>
      <w:r w:rsidR="00A9169C">
        <w:rPr>
          <w:sz w:val="21"/>
          <w:szCs w:val="21"/>
        </w:rPr>
        <w:t xml:space="preserve">, rang du dernier admis, taux </w:t>
      </w:r>
      <w:r w:rsidR="00A9169C" w:rsidRPr="007D409F">
        <w:rPr>
          <w:i/>
          <w:sz w:val="21"/>
          <w:szCs w:val="21"/>
        </w:rPr>
        <w:t>minimum</w:t>
      </w:r>
      <w:r w:rsidR="00A9169C">
        <w:rPr>
          <w:sz w:val="21"/>
          <w:szCs w:val="21"/>
        </w:rPr>
        <w:t xml:space="preserve"> </w:t>
      </w:r>
      <w:r w:rsidR="00A9169C" w:rsidRPr="00A9169C">
        <w:rPr>
          <w:sz w:val="21"/>
          <w:szCs w:val="21"/>
        </w:rPr>
        <w:t>de boursiers </w:t>
      </w:r>
      <w:r w:rsidR="00A9169C">
        <w:rPr>
          <w:sz w:val="21"/>
          <w:szCs w:val="21"/>
        </w:rPr>
        <w:t>et autres taux applicables le cas échéant</w:t>
      </w:r>
      <w:r>
        <w:rPr>
          <w:sz w:val="21"/>
          <w:szCs w:val="21"/>
        </w:rPr>
        <w:t>) ;</w:t>
      </w:r>
    </w:p>
    <w:p w14:paraId="0F00ED56" w14:textId="460B9F51" w:rsidR="007C029E" w:rsidRDefault="007D409F" w:rsidP="00E96372">
      <w:pPr>
        <w:pStyle w:val="Default"/>
        <w:numPr>
          <w:ilvl w:val="0"/>
          <w:numId w:val="11"/>
        </w:numPr>
        <w:spacing w:after="200"/>
        <w:ind w:left="714" w:hanging="357"/>
        <w:jc w:val="both"/>
        <w:rPr>
          <w:sz w:val="21"/>
          <w:szCs w:val="21"/>
        </w:rPr>
      </w:pPr>
      <w:r>
        <w:rPr>
          <w:sz w:val="21"/>
          <w:szCs w:val="21"/>
        </w:rPr>
        <w:lastRenderedPageBreak/>
        <w:t>l</w:t>
      </w:r>
      <w:r w:rsidR="007C029E">
        <w:rPr>
          <w:sz w:val="21"/>
          <w:szCs w:val="21"/>
        </w:rPr>
        <w:t>e rappel des objectifs de la formation et de ses attendus (mise en contexte général</w:t>
      </w:r>
      <w:r>
        <w:rPr>
          <w:sz w:val="21"/>
          <w:szCs w:val="21"/>
        </w:rPr>
        <w:t>e</w:t>
      </w:r>
      <w:r w:rsidR="00367431">
        <w:rPr>
          <w:sz w:val="21"/>
          <w:szCs w:val="21"/>
        </w:rPr>
        <w:t>) ;</w:t>
      </w:r>
    </w:p>
    <w:p w14:paraId="75C1CECE" w14:textId="56510538" w:rsidR="00E84F30" w:rsidRDefault="003B1626" w:rsidP="00E96372">
      <w:pPr>
        <w:pStyle w:val="Default"/>
        <w:numPr>
          <w:ilvl w:val="0"/>
          <w:numId w:val="11"/>
        </w:numPr>
        <w:spacing w:after="200"/>
        <w:ind w:left="714" w:hanging="357"/>
        <w:jc w:val="both"/>
        <w:rPr>
          <w:sz w:val="21"/>
          <w:szCs w:val="21"/>
        </w:rPr>
      </w:pPr>
      <w:r>
        <w:rPr>
          <w:noProof/>
          <w:lang w:eastAsia="fr-FR"/>
        </w:rPr>
        <w:drawing>
          <wp:anchor distT="0" distB="0" distL="114300" distR="114300" simplePos="0" relativeHeight="251675648" behindDoc="0" locked="0" layoutInCell="1" allowOverlap="1" wp14:anchorId="1320C12D" wp14:editId="60AC23A6">
            <wp:simplePos x="0" y="0"/>
            <wp:positionH relativeFrom="column">
              <wp:posOffset>5749925</wp:posOffset>
            </wp:positionH>
            <wp:positionV relativeFrom="paragraph">
              <wp:posOffset>-675005</wp:posOffset>
            </wp:positionV>
            <wp:extent cx="656590" cy="491490"/>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59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09F">
        <w:rPr>
          <w:sz w:val="21"/>
          <w:szCs w:val="21"/>
        </w:rPr>
        <w:t>l</w:t>
      </w:r>
      <w:r w:rsidR="007C029E">
        <w:rPr>
          <w:sz w:val="21"/>
          <w:szCs w:val="21"/>
        </w:rPr>
        <w:t xml:space="preserve">es modalités d’examen des vœux </w:t>
      </w:r>
      <w:r w:rsidR="007D409F">
        <w:rPr>
          <w:sz w:val="21"/>
          <w:szCs w:val="21"/>
        </w:rPr>
        <w:t xml:space="preserve">retenues </w:t>
      </w:r>
      <w:r w:rsidR="007C029E">
        <w:rPr>
          <w:sz w:val="21"/>
          <w:szCs w:val="21"/>
        </w:rPr>
        <w:t>par la commission</w:t>
      </w:r>
      <w:r w:rsidR="009F3657">
        <w:rPr>
          <w:sz w:val="21"/>
          <w:szCs w:val="21"/>
        </w:rPr>
        <w:t xml:space="preserve"> ; </w:t>
      </w:r>
      <w:r w:rsidR="007C029E">
        <w:rPr>
          <w:sz w:val="21"/>
          <w:szCs w:val="21"/>
        </w:rPr>
        <w:t>notamment</w:t>
      </w:r>
      <w:r w:rsidR="007D409F">
        <w:rPr>
          <w:sz w:val="21"/>
          <w:szCs w:val="21"/>
        </w:rPr>
        <w:t xml:space="preserve"> </w:t>
      </w:r>
      <w:r w:rsidR="009F3657">
        <w:rPr>
          <w:sz w:val="21"/>
          <w:szCs w:val="21"/>
        </w:rPr>
        <w:t xml:space="preserve"> le rapport précise </w:t>
      </w:r>
      <w:r w:rsidR="0014304C">
        <w:rPr>
          <w:sz w:val="21"/>
          <w:szCs w:val="21"/>
        </w:rPr>
        <w:t xml:space="preserve">les </w:t>
      </w:r>
      <w:r w:rsidR="007D409F">
        <w:rPr>
          <w:sz w:val="21"/>
          <w:szCs w:val="21"/>
        </w:rPr>
        <w:t xml:space="preserve">éventuels </w:t>
      </w:r>
      <w:r w:rsidR="0014304C">
        <w:rPr>
          <w:sz w:val="21"/>
          <w:szCs w:val="21"/>
        </w:rPr>
        <w:t>recours à des traitements algorithmiques</w:t>
      </w:r>
      <w:r w:rsidR="00B73109">
        <w:rPr>
          <w:sz w:val="21"/>
          <w:szCs w:val="21"/>
        </w:rPr>
        <w:t xml:space="preserve"> </w:t>
      </w:r>
      <w:r w:rsidR="00183C8A">
        <w:rPr>
          <w:sz w:val="21"/>
          <w:szCs w:val="21"/>
        </w:rPr>
        <w:t xml:space="preserve">(il est précisé que la décision du 3 avril 2020 n’implique pas que soient rendus publics les délibérations de la commission et les traitements algorithmiques) </w:t>
      </w:r>
      <w:r w:rsidR="007C029E">
        <w:rPr>
          <w:sz w:val="21"/>
          <w:szCs w:val="21"/>
        </w:rPr>
        <w:t>;</w:t>
      </w:r>
    </w:p>
    <w:tbl>
      <w:tblPr>
        <w:tblStyle w:val="Grilledutableau"/>
        <w:tblW w:w="0" w:type="auto"/>
        <w:tblLook w:val="04A0" w:firstRow="1" w:lastRow="0" w:firstColumn="1" w:lastColumn="0" w:noHBand="0" w:noVBand="1"/>
      </w:tblPr>
      <w:tblGrid>
        <w:gridCol w:w="9062"/>
      </w:tblGrid>
      <w:tr w:rsidR="00E84F30" w14:paraId="43B0427A" w14:textId="77777777" w:rsidTr="00E84F30">
        <w:tc>
          <w:tcPr>
            <w:tcW w:w="9212" w:type="dxa"/>
          </w:tcPr>
          <w:p w14:paraId="708CFCEA" w14:textId="10E2D2FC" w:rsidR="00E84F30" w:rsidRPr="00AD31F9" w:rsidRDefault="00E96372" w:rsidP="001044AF">
            <w:pPr>
              <w:pStyle w:val="Default"/>
              <w:spacing w:before="120" w:after="200" w:line="276" w:lineRule="auto"/>
              <w:jc w:val="both"/>
              <w:rPr>
                <w:sz w:val="21"/>
                <w:szCs w:val="21"/>
                <w:u w:val="single"/>
              </w:rPr>
            </w:pPr>
            <w:r>
              <w:rPr>
                <w:sz w:val="21"/>
                <w:szCs w:val="21"/>
                <w:u w:val="single"/>
              </w:rPr>
              <w:t>E</w:t>
            </w:r>
            <w:r w:rsidR="00096020" w:rsidRPr="00AD31F9">
              <w:rPr>
                <w:sz w:val="21"/>
                <w:szCs w:val="21"/>
                <w:u w:val="single"/>
              </w:rPr>
              <w:t>n cas de recours à un traitement algorithmique</w:t>
            </w:r>
            <w:r w:rsidR="001658B7">
              <w:rPr>
                <w:sz w:val="21"/>
                <w:szCs w:val="21"/>
                <w:u w:val="single"/>
              </w:rPr>
              <w:t>, la formule</w:t>
            </w:r>
            <w:r>
              <w:rPr>
                <w:sz w:val="21"/>
                <w:szCs w:val="21"/>
                <w:u w:val="single"/>
              </w:rPr>
              <w:t xml:space="preserve"> suivante pourra être utilisée</w:t>
            </w:r>
            <w:r w:rsidR="00E84F30" w:rsidRPr="00AD31F9">
              <w:rPr>
                <w:sz w:val="21"/>
                <w:szCs w:val="21"/>
                <w:u w:val="single"/>
              </w:rPr>
              <w:t> :</w:t>
            </w:r>
          </w:p>
          <w:p w14:paraId="37A6DEB4" w14:textId="772E4149" w:rsidR="00E84F30" w:rsidRPr="00096020" w:rsidRDefault="00E84F30" w:rsidP="00096020">
            <w:pPr>
              <w:pStyle w:val="Default"/>
              <w:spacing w:after="200" w:line="276" w:lineRule="auto"/>
              <w:jc w:val="both"/>
              <w:rPr>
                <w:i/>
                <w:sz w:val="21"/>
                <w:szCs w:val="21"/>
              </w:rPr>
            </w:pPr>
            <w:r>
              <w:rPr>
                <w:sz w:val="21"/>
                <w:szCs w:val="21"/>
              </w:rPr>
              <w:t>« </w:t>
            </w:r>
            <w:r w:rsidRPr="00096020">
              <w:rPr>
                <w:i/>
                <w:sz w:val="21"/>
                <w:szCs w:val="21"/>
              </w:rPr>
              <w:t>Un traitement algorithm</w:t>
            </w:r>
            <w:r w:rsidR="00AD31F9">
              <w:rPr>
                <w:i/>
                <w:sz w:val="21"/>
                <w:szCs w:val="21"/>
              </w:rPr>
              <w:t>ique permettant essentiellement</w:t>
            </w:r>
            <w:r w:rsidR="00E27EFB">
              <w:rPr>
                <w:i/>
                <w:sz w:val="21"/>
                <w:szCs w:val="21"/>
              </w:rPr>
              <w:t>,</w:t>
            </w:r>
            <w:r w:rsidRPr="00096020">
              <w:rPr>
                <w:i/>
                <w:sz w:val="21"/>
                <w:szCs w:val="21"/>
              </w:rPr>
              <w:t xml:space="preserve"> </w:t>
            </w:r>
            <w:r w:rsidR="00AD31F9" w:rsidRPr="00096020">
              <w:rPr>
                <w:i/>
                <w:sz w:val="21"/>
                <w:szCs w:val="21"/>
              </w:rPr>
              <w:t xml:space="preserve">à partir des </w:t>
            </w:r>
            <w:r w:rsidR="00AD31F9">
              <w:rPr>
                <w:i/>
                <w:sz w:val="21"/>
                <w:szCs w:val="21"/>
              </w:rPr>
              <w:t>données</w:t>
            </w:r>
            <w:r w:rsidR="00E27EFB">
              <w:rPr>
                <w:i/>
                <w:sz w:val="21"/>
                <w:szCs w:val="21"/>
              </w:rPr>
              <w:t xml:space="preserve"> quantitatives </w:t>
            </w:r>
            <w:r w:rsidR="00E96372">
              <w:rPr>
                <w:i/>
                <w:sz w:val="21"/>
                <w:szCs w:val="21"/>
              </w:rPr>
              <w:t>et</w:t>
            </w:r>
            <w:r w:rsidR="00E27EFB">
              <w:rPr>
                <w:i/>
                <w:sz w:val="21"/>
                <w:szCs w:val="21"/>
              </w:rPr>
              <w:t xml:space="preserve"> qualitatives </w:t>
            </w:r>
            <w:r w:rsidR="00AD31F9" w:rsidRPr="00096020">
              <w:rPr>
                <w:i/>
                <w:sz w:val="21"/>
                <w:szCs w:val="21"/>
              </w:rPr>
              <w:t>figurant</w:t>
            </w:r>
            <w:r w:rsidR="00E27EFB">
              <w:rPr>
                <w:i/>
                <w:sz w:val="21"/>
                <w:szCs w:val="21"/>
              </w:rPr>
              <w:t xml:space="preserve"> dans les dossiers</w:t>
            </w:r>
            <w:r w:rsidR="00096020" w:rsidRPr="00096020">
              <w:rPr>
                <w:i/>
                <w:sz w:val="21"/>
                <w:szCs w:val="21"/>
              </w:rPr>
              <w:t xml:space="preserve">, </w:t>
            </w:r>
            <w:r w:rsidR="00E27EFB">
              <w:rPr>
                <w:i/>
                <w:sz w:val="21"/>
                <w:szCs w:val="21"/>
              </w:rPr>
              <w:t xml:space="preserve">de calculer les moyennes des notes récupérées ou attribuées aux candidats, </w:t>
            </w:r>
            <w:r w:rsidR="00096020" w:rsidRPr="00096020">
              <w:rPr>
                <w:i/>
                <w:sz w:val="21"/>
                <w:szCs w:val="21"/>
              </w:rPr>
              <w:t>a été mis en œuvre par la commission d’examen des vœux afin de l’aider dans ses travaux, et non se substituer à elle.</w:t>
            </w:r>
          </w:p>
          <w:p w14:paraId="4E3BA2DE" w14:textId="77777777" w:rsidR="00E27EFB" w:rsidRDefault="00096020" w:rsidP="00E27EFB">
            <w:pPr>
              <w:pStyle w:val="Default"/>
              <w:spacing w:after="200" w:line="276" w:lineRule="auto"/>
              <w:jc w:val="both"/>
              <w:rPr>
                <w:sz w:val="21"/>
                <w:szCs w:val="21"/>
                <w:u w:val="single"/>
              </w:rPr>
            </w:pPr>
            <w:r w:rsidRPr="00096020">
              <w:rPr>
                <w:i/>
                <w:sz w:val="21"/>
                <w:szCs w:val="21"/>
              </w:rPr>
              <w:t>Ce traitement automatisé, dont le paramétrage a été effectué par la commission d’examen des vœux en fonction des critères que ses membres ont définis, a été utilisé pour effectuer une première analyse des candidatures et un pré-classement de ces dernières. La commission d’examen des vœux s’est en partie fondée sur ces éléments pour apprécier les mérites des candidatures. </w:t>
            </w:r>
            <w:r>
              <w:rPr>
                <w:sz w:val="21"/>
                <w:szCs w:val="21"/>
              </w:rPr>
              <w:t>»</w:t>
            </w:r>
          </w:p>
          <w:p w14:paraId="07D820CE" w14:textId="05DD9449" w:rsidR="00E27EFB" w:rsidRPr="00AD31F9" w:rsidRDefault="00E96372" w:rsidP="00E27EFB">
            <w:pPr>
              <w:pStyle w:val="Default"/>
              <w:spacing w:after="200" w:line="276" w:lineRule="auto"/>
              <w:jc w:val="both"/>
              <w:rPr>
                <w:sz w:val="21"/>
                <w:szCs w:val="21"/>
                <w:u w:val="single"/>
              </w:rPr>
            </w:pPr>
            <w:r>
              <w:rPr>
                <w:sz w:val="21"/>
                <w:szCs w:val="21"/>
                <w:u w:val="single"/>
              </w:rPr>
              <w:t>E</w:t>
            </w:r>
            <w:r w:rsidR="00E27EFB" w:rsidRPr="00AD31F9">
              <w:rPr>
                <w:sz w:val="21"/>
                <w:szCs w:val="21"/>
                <w:u w:val="single"/>
              </w:rPr>
              <w:t>n cas de non-recours à un traitement algorithmique</w:t>
            </w:r>
            <w:r>
              <w:rPr>
                <w:sz w:val="21"/>
                <w:szCs w:val="21"/>
                <w:u w:val="single"/>
              </w:rPr>
              <w:t>, la formul</w:t>
            </w:r>
            <w:r w:rsidR="001658B7">
              <w:rPr>
                <w:sz w:val="21"/>
                <w:szCs w:val="21"/>
                <w:u w:val="single"/>
              </w:rPr>
              <w:t>e</w:t>
            </w:r>
            <w:r>
              <w:rPr>
                <w:sz w:val="21"/>
                <w:szCs w:val="21"/>
                <w:u w:val="single"/>
              </w:rPr>
              <w:t xml:space="preserve"> suivante pourra être utilisée</w:t>
            </w:r>
            <w:r w:rsidR="00E27EFB" w:rsidRPr="00AD31F9">
              <w:rPr>
                <w:sz w:val="21"/>
                <w:szCs w:val="21"/>
                <w:u w:val="single"/>
              </w:rPr>
              <w:t> :</w:t>
            </w:r>
          </w:p>
          <w:p w14:paraId="352ABD63" w14:textId="65A74FBE" w:rsidR="00096020" w:rsidRDefault="00E27EFB" w:rsidP="001044AF">
            <w:pPr>
              <w:pStyle w:val="Default"/>
              <w:spacing w:after="120" w:line="276" w:lineRule="auto"/>
              <w:jc w:val="both"/>
              <w:rPr>
                <w:sz w:val="21"/>
                <w:szCs w:val="21"/>
              </w:rPr>
            </w:pPr>
            <w:r>
              <w:rPr>
                <w:sz w:val="21"/>
                <w:szCs w:val="21"/>
              </w:rPr>
              <w:t>« </w:t>
            </w:r>
            <w:r w:rsidRPr="00AD31F9">
              <w:rPr>
                <w:i/>
                <w:sz w:val="21"/>
                <w:szCs w:val="21"/>
              </w:rPr>
              <w:t>Aucun traitement algorithmique n’a été mis en œuvre par la commission d’examen des vœux. </w:t>
            </w:r>
            <w:r>
              <w:rPr>
                <w:sz w:val="21"/>
                <w:szCs w:val="21"/>
              </w:rPr>
              <w:t>»</w:t>
            </w:r>
          </w:p>
        </w:tc>
      </w:tr>
    </w:tbl>
    <w:p w14:paraId="48B21754" w14:textId="7335BFAA" w:rsidR="00367431" w:rsidRDefault="00367431" w:rsidP="001044AF">
      <w:pPr>
        <w:pStyle w:val="Default"/>
        <w:numPr>
          <w:ilvl w:val="0"/>
          <w:numId w:val="11"/>
        </w:numPr>
        <w:spacing w:before="240" w:after="200"/>
        <w:ind w:left="714" w:hanging="357"/>
        <w:jc w:val="both"/>
        <w:rPr>
          <w:sz w:val="21"/>
          <w:szCs w:val="21"/>
        </w:rPr>
      </w:pPr>
      <w:r>
        <w:rPr>
          <w:sz w:val="21"/>
          <w:szCs w:val="21"/>
        </w:rPr>
        <w:t>les principaux enseignements de la session et les conseils ou recommandations formulés aux candidats pour améliorer leur prise en compte des attendus et objectifs de la formation.</w:t>
      </w:r>
    </w:p>
    <w:p w14:paraId="7CADB354" w14:textId="76FF2057" w:rsidR="007800F3" w:rsidRDefault="007800F3" w:rsidP="00367431">
      <w:pPr>
        <w:pStyle w:val="Default"/>
        <w:spacing w:before="240" w:after="200" w:line="276" w:lineRule="auto"/>
        <w:jc w:val="both"/>
        <w:rPr>
          <w:sz w:val="21"/>
          <w:szCs w:val="21"/>
        </w:rPr>
      </w:pPr>
      <w:r w:rsidRPr="00AD31F9">
        <w:rPr>
          <w:b/>
          <w:sz w:val="21"/>
          <w:szCs w:val="21"/>
        </w:rPr>
        <w:t xml:space="preserve">Le tableau </w:t>
      </w:r>
      <w:r w:rsidR="00AD31F9">
        <w:rPr>
          <w:b/>
          <w:sz w:val="21"/>
          <w:szCs w:val="21"/>
        </w:rPr>
        <w:t>synoptique</w:t>
      </w:r>
      <w:r w:rsidR="00B332AC" w:rsidRPr="00AD31F9">
        <w:rPr>
          <w:b/>
          <w:sz w:val="21"/>
          <w:szCs w:val="21"/>
        </w:rPr>
        <w:t xml:space="preserve"> du rapport</w:t>
      </w:r>
      <w:r w:rsidR="007C029E">
        <w:rPr>
          <w:sz w:val="21"/>
          <w:szCs w:val="21"/>
        </w:rPr>
        <w:t xml:space="preserve"> </w:t>
      </w:r>
      <w:r w:rsidR="00E84F30">
        <w:rPr>
          <w:sz w:val="21"/>
          <w:szCs w:val="21"/>
        </w:rPr>
        <w:t>(</w:t>
      </w:r>
      <w:r w:rsidR="00E84F30" w:rsidRPr="00E84F30">
        <w:rPr>
          <w:i/>
          <w:sz w:val="21"/>
          <w:szCs w:val="21"/>
        </w:rPr>
        <w:t xml:space="preserve">cf. </w:t>
      </w:r>
      <w:r w:rsidR="00E84F30">
        <w:rPr>
          <w:sz w:val="21"/>
          <w:szCs w:val="21"/>
        </w:rPr>
        <w:t xml:space="preserve">annexe) </w:t>
      </w:r>
      <w:r>
        <w:rPr>
          <w:sz w:val="21"/>
          <w:szCs w:val="21"/>
        </w:rPr>
        <w:t xml:space="preserve">renseigne, </w:t>
      </w:r>
      <w:r w:rsidR="007C029E">
        <w:rPr>
          <w:sz w:val="21"/>
          <w:szCs w:val="21"/>
        </w:rPr>
        <w:t xml:space="preserve">quant à </w:t>
      </w:r>
      <w:r>
        <w:rPr>
          <w:sz w:val="21"/>
          <w:szCs w:val="21"/>
        </w:rPr>
        <w:t xml:space="preserve">lui, </w:t>
      </w:r>
      <w:r w:rsidR="00D56AFD">
        <w:rPr>
          <w:sz w:val="21"/>
          <w:szCs w:val="21"/>
        </w:rPr>
        <w:t xml:space="preserve">par champ d’évaluation (catégorie de critères), </w:t>
      </w:r>
      <w:r>
        <w:rPr>
          <w:sz w:val="21"/>
          <w:szCs w:val="21"/>
        </w:rPr>
        <w:t>sur :</w:t>
      </w:r>
    </w:p>
    <w:p w14:paraId="08FA08C1" w14:textId="1203F632" w:rsidR="0014304C" w:rsidRPr="00EA4C6C" w:rsidRDefault="0014304C" w:rsidP="00863247">
      <w:pPr>
        <w:pStyle w:val="Default"/>
        <w:numPr>
          <w:ilvl w:val="0"/>
          <w:numId w:val="11"/>
        </w:numPr>
        <w:spacing w:after="200" w:line="276" w:lineRule="auto"/>
        <w:jc w:val="both"/>
        <w:rPr>
          <w:sz w:val="21"/>
          <w:szCs w:val="21"/>
        </w:rPr>
      </w:pPr>
      <w:r w:rsidRPr="00EA4C6C">
        <w:rPr>
          <w:sz w:val="21"/>
          <w:szCs w:val="21"/>
        </w:rPr>
        <w:t xml:space="preserve">les critères d’examen des vœux </w:t>
      </w:r>
      <w:r w:rsidR="00990CA2" w:rsidRPr="00EA4C6C">
        <w:rPr>
          <w:sz w:val="21"/>
          <w:szCs w:val="21"/>
        </w:rPr>
        <w:t>définis par la commissio</w:t>
      </w:r>
      <w:r w:rsidR="007D409F" w:rsidRPr="00EA4C6C">
        <w:rPr>
          <w:sz w:val="21"/>
          <w:szCs w:val="21"/>
        </w:rPr>
        <w:t>n pour l’examen des dossiers (i</w:t>
      </w:r>
      <w:r w:rsidR="00990CA2" w:rsidRPr="00EA4C6C">
        <w:rPr>
          <w:sz w:val="21"/>
          <w:szCs w:val="21"/>
        </w:rPr>
        <w:t>l s’agit</w:t>
      </w:r>
      <w:r w:rsidR="0037587B">
        <w:rPr>
          <w:sz w:val="21"/>
          <w:szCs w:val="21"/>
        </w:rPr>
        <w:t>,</w:t>
      </w:r>
      <w:r w:rsidR="00990CA2" w:rsidRPr="00EA4C6C">
        <w:rPr>
          <w:sz w:val="21"/>
          <w:szCs w:val="21"/>
        </w:rPr>
        <w:t xml:space="preserve"> </w:t>
      </w:r>
      <w:r w:rsidR="009B5BC6" w:rsidRPr="00084338">
        <w:rPr>
          <w:b/>
          <w:bCs/>
          <w:sz w:val="21"/>
          <w:szCs w:val="21"/>
        </w:rPr>
        <w:t>en</w:t>
      </w:r>
      <w:r w:rsidR="009B5BC6" w:rsidRPr="00EA4C6C">
        <w:rPr>
          <w:sz w:val="21"/>
          <w:szCs w:val="21"/>
        </w:rPr>
        <w:t xml:space="preserve"> </w:t>
      </w:r>
      <w:r w:rsidR="009B5BC6" w:rsidRPr="00EA4C6C">
        <w:rPr>
          <w:b/>
          <w:sz w:val="21"/>
          <w:szCs w:val="21"/>
        </w:rPr>
        <w:t>repartant de</w:t>
      </w:r>
      <w:r w:rsidR="0037587B">
        <w:rPr>
          <w:b/>
          <w:sz w:val="21"/>
          <w:szCs w:val="21"/>
        </w:rPr>
        <w:t>s</w:t>
      </w:r>
      <w:r w:rsidR="00990CA2" w:rsidRPr="00EA4C6C">
        <w:rPr>
          <w:b/>
          <w:sz w:val="21"/>
          <w:szCs w:val="21"/>
        </w:rPr>
        <w:t xml:space="preserve"> </w:t>
      </w:r>
      <w:r w:rsidR="008172B7" w:rsidRPr="00EA4C6C">
        <w:rPr>
          <w:b/>
          <w:sz w:val="21"/>
          <w:szCs w:val="21"/>
        </w:rPr>
        <w:t>crit</w:t>
      </w:r>
      <w:r w:rsidR="00990CA2" w:rsidRPr="00EA4C6C">
        <w:rPr>
          <w:b/>
          <w:sz w:val="21"/>
          <w:szCs w:val="21"/>
        </w:rPr>
        <w:t xml:space="preserve">ères généraux d’examen des vœux </w:t>
      </w:r>
      <w:r w:rsidR="009B5BC6" w:rsidRPr="00EA4C6C">
        <w:rPr>
          <w:b/>
          <w:sz w:val="21"/>
          <w:szCs w:val="21"/>
        </w:rPr>
        <w:t>pré-renseign</w:t>
      </w:r>
      <w:r w:rsidR="00312E5A" w:rsidRPr="00EA4C6C">
        <w:rPr>
          <w:b/>
          <w:sz w:val="21"/>
          <w:szCs w:val="21"/>
        </w:rPr>
        <w:t xml:space="preserve">és, </w:t>
      </w:r>
      <w:r w:rsidR="009B5BC6" w:rsidRPr="00EA4C6C">
        <w:rPr>
          <w:b/>
          <w:sz w:val="21"/>
          <w:szCs w:val="21"/>
        </w:rPr>
        <w:t xml:space="preserve">de </w:t>
      </w:r>
      <w:r w:rsidR="009C21CB" w:rsidRPr="00EA4C6C">
        <w:rPr>
          <w:b/>
          <w:sz w:val="21"/>
          <w:szCs w:val="21"/>
          <w:u w:val="single"/>
        </w:rPr>
        <w:t>décrire avec précision</w:t>
      </w:r>
      <w:r w:rsidR="0037587B">
        <w:rPr>
          <w:b/>
          <w:sz w:val="21"/>
          <w:szCs w:val="21"/>
          <w:u w:val="single"/>
        </w:rPr>
        <w:t xml:space="preserve"> et exhaustivité</w:t>
      </w:r>
      <w:r w:rsidR="00990CA2" w:rsidRPr="00EA4C6C">
        <w:rPr>
          <w:b/>
          <w:sz w:val="21"/>
          <w:szCs w:val="21"/>
        </w:rPr>
        <w:t xml:space="preserve"> ceux effectivement retenus et appliqués par la commission</w:t>
      </w:r>
      <w:r w:rsidR="0037587B">
        <w:rPr>
          <w:b/>
          <w:sz w:val="21"/>
          <w:szCs w:val="21"/>
        </w:rPr>
        <w:t>, en prenant soin notamment de rentrer dans les détails d</w:t>
      </w:r>
      <w:r w:rsidR="009C21CB" w:rsidRPr="00EA4C6C">
        <w:rPr>
          <w:b/>
          <w:sz w:val="21"/>
          <w:szCs w:val="21"/>
        </w:rPr>
        <w:t xml:space="preserve">es enseignements de spécialité </w:t>
      </w:r>
      <w:r w:rsidR="0037587B">
        <w:rPr>
          <w:b/>
          <w:sz w:val="21"/>
          <w:szCs w:val="21"/>
        </w:rPr>
        <w:t>sur la base desquels l’examen des vœux s’est appuyé</w:t>
      </w:r>
      <w:r w:rsidR="001D50D4" w:rsidRPr="00EA4C6C">
        <w:rPr>
          <w:sz w:val="21"/>
          <w:szCs w:val="21"/>
        </w:rPr>
        <w:t>)</w:t>
      </w:r>
      <w:r w:rsidR="00990CA2" w:rsidRPr="00EA4C6C">
        <w:rPr>
          <w:sz w:val="21"/>
          <w:szCs w:val="21"/>
        </w:rPr>
        <w:t xml:space="preserve"> </w:t>
      </w:r>
      <w:r w:rsidRPr="00EA4C6C">
        <w:rPr>
          <w:sz w:val="21"/>
          <w:szCs w:val="21"/>
        </w:rPr>
        <w:t>;</w:t>
      </w:r>
    </w:p>
    <w:p w14:paraId="2E33443C" w14:textId="39E7EF0B" w:rsidR="003942BA" w:rsidRDefault="001D50D4" w:rsidP="003942BA">
      <w:pPr>
        <w:pStyle w:val="Default"/>
        <w:numPr>
          <w:ilvl w:val="0"/>
          <w:numId w:val="11"/>
        </w:numPr>
        <w:spacing w:after="200" w:line="276" w:lineRule="auto"/>
        <w:jc w:val="both"/>
        <w:rPr>
          <w:sz w:val="21"/>
          <w:szCs w:val="21"/>
        </w:rPr>
      </w:pPr>
      <w:r>
        <w:rPr>
          <w:sz w:val="21"/>
          <w:szCs w:val="21"/>
        </w:rPr>
        <w:t>les éléments</w:t>
      </w:r>
      <w:r w:rsidR="009B460B">
        <w:rPr>
          <w:sz w:val="21"/>
          <w:szCs w:val="21"/>
        </w:rPr>
        <w:t xml:space="preserve"> </w:t>
      </w:r>
      <w:r w:rsidR="00367431">
        <w:rPr>
          <w:sz w:val="21"/>
          <w:szCs w:val="21"/>
        </w:rPr>
        <w:t xml:space="preserve">matériels </w:t>
      </w:r>
      <w:r w:rsidR="003942BA">
        <w:rPr>
          <w:sz w:val="21"/>
          <w:szCs w:val="21"/>
        </w:rPr>
        <w:t>pris en compte lors de l’examen</w:t>
      </w:r>
      <w:r w:rsidR="007D409F">
        <w:rPr>
          <w:sz w:val="21"/>
          <w:szCs w:val="21"/>
        </w:rPr>
        <w:t xml:space="preserve"> pour évaluer lesdits critères</w:t>
      </w:r>
      <w:r>
        <w:rPr>
          <w:sz w:val="21"/>
          <w:szCs w:val="21"/>
        </w:rPr>
        <w:t xml:space="preserve">, que ce soient les </w:t>
      </w:r>
      <w:r w:rsidR="003942BA">
        <w:rPr>
          <w:sz w:val="21"/>
          <w:szCs w:val="21"/>
        </w:rPr>
        <w:t>pièces constitutives du dossier</w:t>
      </w:r>
      <w:r>
        <w:rPr>
          <w:sz w:val="21"/>
          <w:szCs w:val="21"/>
        </w:rPr>
        <w:t xml:space="preserve"> (</w:t>
      </w:r>
      <w:r w:rsidR="009B460B">
        <w:rPr>
          <w:sz w:val="21"/>
          <w:szCs w:val="21"/>
        </w:rPr>
        <w:t>f</w:t>
      </w:r>
      <w:r>
        <w:rPr>
          <w:sz w:val="21"/>
          <w:szCs w:val="21"/>
        </w:rPr>
        <w:t>iche A</w:t>
      </w:r>
      <w:r w:rsidR="009B460B">
        <w:rPr>
          <w:sz w:val="21"/>
          <w:szCs w:val="21"/>
        </w:rPr>
        <w:t>venir</w:t>
      </w:r>
      <w:r>
        <w:rPr>
          <w:sz w:val="21"/>
          <w:szCs w:val="21"/>
        </w:rPr>
        <w:t>,</w:t>
      </w:r>
      <w:r w:rsidR="009B460B">
        <w:rPr>
          <w:sz w:val="21"/>
          <w:szCs w:val="21"/>
        </w:rPr>
        <w:t xml:space="preserve"> projet de formation motivé, </w:t>
      </w:r>
      <w:r w:rsidR="003942BA">
        <w:rPr>
          <w:sz w:val="21"/>
          <w:szCs w:val="21"/>
        </w:rPr>
        <w:t>notes</w:t>
      </w:r>
      <w:r>
        <w:rPr>
          <w:sz w:val="21"/>
          <w:szCs w:val="21"/>
        </w:rPr>
        <w:t>, appréciations</w:t>
      </w:r>
      <w:r w:rsidR="00D56AFD">
        <w:rPr>
          <w:sz w:val="21"/>
          <w:szCs w:val="21"/>
        </w:rPr>
        <w:t>, rubrique « Activités et centres d’intérêt »</w:t>
      </w:r>
      <w:r w:rsidR="00367431">
        <w:rPr>
          <w:sz w:val="21"/>
          <w:szCs w:val="21"/>
        </w:rPr>
        <w:t>, autres pièces demandée</w:t>
      </w:r>
      <w:r w:rsidR="004B3115">
        <w:rPr>
          <w:sz w:val="21"/>
          <w:szCs w:val="21"/>
        </w:rPr>
        <w:t>s</w:t>
      </w:r>
      <w:r>
        <w:rPr>
          <w:sz w:val="21"/>
          <w:szCs w:val="21"/>
        </w:rPr>
        <w:t xml:space="preserve">) </w:t>
      </w:r>
      <w:r w:rsidR="00367431">
        <w:rPr>
          <w:sz w:val="21"/>
          <w:szCs w:val="21"/>
        </w:rPr>
        <w:t>et/</w:t>
      </w:r>
      <w:r>
        <w:rPr>
          <w:sz w:val="21"/>
          <w:szCs w:val="21"/>
        </w:rPr>
        <w:t xml:space="preserve">ou les </w:t>
      </w:r>
      <w:r w:rsidR="003942BA">
        <w:rPr>
          <w:sz w:val="21"/>
          <w:szCs w:val="21"/>
        </w:rPr>
        <w:t xml:space="preserve">épreuves </w:t>
      </w:r>
      <w:r>
        <w:rPr>
          <w:sz w:val="21"/>
          <w:szCs w:val="21"/>
        </w:rPr>
        <w:t>(orale</w:t>
      </w:r>
      <w:r w:rsidR="004B3115">
        <w:rPr>
          <w:sz w:val="21"/>
          <w:szCs w:val="21"/>
        </w:rPr>
        <w:t>s</w:t>
      </w:r>
      <w:r w:rsidR="00367431">
        <w:rPr>
          <w:sz w:val="21"/>
          <w:szCs w:val="21"/>
        </w:rPr>
        <w:t>,</w:t>
      </w:r>
      <w:r>
        <w:rPr>
          <w:sz w:val="21"/>
          <w:szCs w:val="21"/>
        </w:rPr>
        <w:t xml:space="preserve"> écrite</w:t>
      </w:r>
      <w:r w:rsidR="004B3115">
        <w:rPr>
          <w:sz w:val="21"/>
          <w:szCs w:val="21"/>
        </w:rPr>
        <w:t>s</w:t>
      </w:r>
      <w:r w:rsidR="00367431">
        <w:rPr>
          <w:sz w:val="21"/>
          <w:szCs w:val="21"/>
        </w:rPr>
        <w:t>, pratiques</w:t>
      </w:r>
      <w:r w:rsidR="004B3115">
        <w:rPr>
          <w:sz w:val="21"/>
          <w:szCs w:val="21"/>
        </w:rPr>
        <w:t xml:space="preserve">, </w:t>
      </w:r>
      <w:r w:rsidR="00367431">
        <w:rPr>
          <w:sz w:val="21"/>
          <w:szCs w:val="21"/>
        </w:rPr>
        <w:t>physiques</w:t>
      </w:r>
      <w:r>
        <w:rPr>
          <w:sz w:val="21"/>
          <w:szCs w:val="21"/>
        </w:rPr>
        <w:t>) organisées par la formation ;</w:t>
      </w:r>
    </w:p>
    <w:p w14:paraId="530D3840" w14:textId="24661BCB" w:rsidR="004B3115" w:rsidRPr="009C21CB" w:rsidRDefault="0014304C" w:rsidP="004B3115">
      <w:pPr>
        <w:pStyle w:val="Default"/>
        <w:numPr>
          <w:ilvl w:val="0"/>
          <w:numId w:val="11"/>
        </w:numPr>
        <w:spacing w:after="200" w:line="276" w:lineRule="auto"/>
        <w:jc w:val="both"/>
        <w:rPr>
          <w:b/>
          <w:sz w:val="21"/>
          <w:szCs w:val="21"/>
        </w:rPr>
      </w:pPr>
      <w:r>
        <w:rPr>
          <w:sz w:val="21"/>
          <w:szCs w:val="21"/>
        </w:rPr>
        <w:t xml:space="preserve">le degré d’importance accordé </w:t>
      </w:r>
      <w:r w:rsidR="00990CA2">
        <w:rPr>
          <w:sz w:val="21"/>
          <w:szCs w:val="21"/>
        </w:rPr>
        <w:t>à chaque critère</w:t>
      </w:r>
      <w:r w:rsidR="00D56AFD">
        <w:rPr>
          <w:sz w:val="21"/>
          <w:szCs w:val="21"/>
        </w:rPr>
        <w:t xml:space="preserve">, </w:t>
      </w:r>
      <w:r w:rsidR="004B3115">
        <w:rPr>
          <w:sz w:val="21"/>
          <w:szCs w:val="21"/>
        </w:rPr>
        <w:t xml:space="preserve">par défaut et </w:t>
      </w:r>
      <w:r w:rsidR="001D50D4">
        <w:rPr>
          <w:sz w:val="21"/>
          <w:szCs w:val="21"/>
        </w:rPr>
        <w:t xml:space="preserve">par </w:t>
      </w:r>
      <w:r w:rsidR="008172B7">
        <w:rPr>
          <w:sz w:val="21"/>
          <w:szCs w:val="21"/>
        </w:rPr>
        <w:t>ordre décroissant d’importance</w:t>
      </w:r>
      <w:r w:rsidR="004B3115">
        <w:rPr>
          <w:sz w:val="21"/>
          <w:szCs w:val="21"/>
        </w:rPr>
        <w:t> </w:t>
      </w:r>
      <w:r w:rsidR="008172B7">
        <w:rPr>
          <w:sz w:val="21"/>
          <w:szCs w:val="21"/>
        </w:rPr>
        <w:t xml:space="preserve">: </w:t>
      </w:r>
      <w:r w:rsidR="008172B7" w:rsidRPr="009125F9">
        <w:rPr>
          <w:i/>
          <w:sz w:val="21"/>
          <w:szCs w:val="21"/>
        </w:rPr>
        <w:t>essentiel</w:t>
      </w:r>
      <w:r w:rsidR="008172B7" w:rsidRPr="001D50D4">
        <w:rPr>
          <w:sz w:val="21"/>
          <w:szCs w:val="21"/>
        </w:rPr>
        <w:t>,</w:t>
      </w:r>
      <w:r w:rsidR="008172B7" w:rsidRPr="009125F9">
        <w:rPr>
          <w:i/>
          <w:sz w:val="21"/>
          <w:szCs w:val="21"/>
        </w:rPr>
        <w:t xml:space="preserve"> très important</w:t>
      </w:r>
      <w:r w:rsidR="008172B7" w:rsidRPr="001D50D4">
        <w:rPr>
          <w:sz w:val="21"/>
          <w:szCs w:val="21"/>
        </w:rPr>
        <w:t>,</w:t>
      </w:r>
      <w:r w:rsidR="008172B7" w:rsidRPr="009125F9">
        <w:rPr>
          <w:i/>
          <w:sz w:val="21"/>
          <w:szCs w:val="21"/>
        </w:rPr>
        <w:t xml:space="preserve"> important </w:t>
      </w:r>
      <w:r w:rsidR="001D50D4" w:rsidRPr="001D50D4">
        <w:rPr>
          <w:sz w:val="21"/>
          <w:szCs w:val="21"/>
        </w:rPr>
        <w:t>ou</w:t>
      </w:r>
      <w:r w:rsidR="008172B7" w:rsidRPr="009125F9">
        <w:rPr>
          <w:i/>
          <w:sz w:val="21"/>
          <w:szCs w:val="21"/>
        </w:rPr>
        <w:t xml:space="preserve"> </w:t>
      </w:r>
      <w:r w:rsidR="00DA0658">
        <w:rPr>
          <w:i/>
          <w:sz w:val="21"/>
          <w:szCs w:val="21"/>
        </w:rPr>
        <w:t>complémentaire</w:t>
      </w:r>
      <w:r w:rsidR="00EA4C6C">
        <w:rPr>
          <w:i/>
          <w:sz w:val="21"/>
          <w:szCs w:val="21"/>
        </w:rPr>
        <w:t xml:space="preserve"> </w:t>
      </w:r>
      <w:r w:rsidR="00D56AFD">
        <w:rPr>
          <w:sz w:val="21"/>
          <w:szCs w:val="21"/>
        </w:rPr>
        <w:t xml:space="preserve"> (</w:t>
      </w:r>
      <w:r w:rsidR="00990CA2">
        <w:rPr>
          <w:sz w:val="21"/>
          <w:szCs w:val="21"/>
        </w:rPr>
        <w:t xml:space="preserve">la décision du 3 avril </w:t>
      </w:r>
      <w:r w:rsidR="00367431">
        <w:rPr>
          <w:sz w:val="21"/>
          <w:szCs w:val="21"/>
        </w:rPr>
        <w:t xml:space="preserve">2020 </w:t>
      </w:r>
      <w:r w:rsidR="00990CA2">
        <w:rPr>
          <w:sz w:val="21"/>
          <w:szCs w:val="21"/>
        </w:rPr>
        <w:t>n’implique pas que soi</w:t>
      </w:r>
      <w:r w:rsidR="004B3115">
        <w:rPr>
          <w:sz w:val="21"/>
          <w:szCs w:val="21"/>
        </w:rPr>
        <w:t xml:space="preserve">t </w:t>
      </w:r>
      <w:r w:rsidR="00990CA2">
        <w:rPr>
          <w:sz w:val="21"/>
          <w:szCs w:val="21"/>
        </w:rPr>
        <w:t>rendu</w:t>
      </w:r>
      <w:r w:rsidR="004B3115">
        <w:rPr>
          <w:sz w:val="21"/>
          <w:szCs w:val="21"/>
        </w:rPr>
        <w:t>e</w:t>
      </w:r>
      <w:r w:rsidR="00990CA2">
        <w:rPr>
          <w:sz w:val="21"/>
          <w:szCs w:val="21"/>
        </w:rPr>
        <w:t xml:space="preserve"> publi</w:t>
      </w:r>
      <w:r w:rsidR="004B3115">
        <w:rPr>
          <w:sz w:val="21"/>
          <w:szCs w:val="21"/>
        </w:rPr>
        <w:t>que</w:t>
      </w:r>
      <w:r w:rsidR="00990CA2">
        <w:rPr>
          <w:sz w:val="21"/>
          <w:szCs w:val="21"/>
        </w:rPr>
        <w:t xml:space="preserve"> </w:t>
      </w:r>
      <w:r w:rsidR="00D56AFD">
        <w:rPr>
          <w:sz w:val="21"/>
          <w:szCs w:val="21"/>
        </w:rPr>
        <w:t xml:space="preserve">une pondération chiffrée </w:t>
      </w:r>
      <w:r w:rsidR="00D56AFD" w:rsidRPr="009C21CB">
        <w:rPr>
          <w:b/>
          <w:sz w:val="21"/>
          <w:szCs w:val="21"/>
        </w:rPr>
        <w:t>mais il</w:t>
      </w:r>
      <w:r w:rsidR="00992ACB" w:rsidRPr="009C21CB">
        <w:rPr>
          <w:b/>
          <w:sz w:val="21"/>
          <w:szCs w:val="21"/>
        </w:rPr>
        <w:t xml:space="preserve"> est </w:t>
      </w:r>
      <w:r w:rsidR="009C21CB" w:rsidRPr="009C21CB">
        <w:rPr>
          <w:b/>
          <w:sz w:val="21"/>
          <w:szCs w:val="21"/>
        </w:rPr>
        <w:t xml:space="preserve">tout à fait possible pour </w:t>
      </w:r>
      <w:r w:rsidR="00992ACB" w:rsidRPr="009C21CB">
        <w:rPr>
          <w:b/>
          <w:sz w:val="21"/>
          <w:szCs w:val="21"/>
        </w:rPr>
        <w:t xml:space="preserve"> </w:t>
      </w:r>
      <w:r w:rsidR="009C21CB" w:rsidRPr="009C21CB">
        <w:rPr>
          <w:b/>
          <w:sz w:val="21"/>
          <w:szCs w:val="21"/>
        </w:rPr>
        <w:t>l’</w:t>
      </w:r>
      <w:r w:rsidR="007C453E" w:rsidRPr="009C21CB">
        <w:rPr>
          <w:b/>
          <w:sz w:val="21"/>
          <w:szCs w:val="21"/>
        </w:rPr>
        <w:t>établissement</w:t>
      </w:r>
      <w:r w:rsidR="00992ACB" w:rsidRPr="009C21CB">
        <w:rPr>
          <w:b/>
          <w:sz w:val="21"/>
          <w:szCs w:val="21"/>
        </w:rPr>
        <w:t xml:space="preserve"> de le faire </w:t>
      </w:r>
      <w:r w:rsidR="004B3115" w:rsidRPr="009C21CB">
        <w:rPr>
          <w:b/>
          <w:sz w:val="21"/>
          <w:szCs w:val="21"/>
        </w:rPr>
        <w:t>et de remplacer les termes proposés par des coefficients ou des pourcentages</w:t>
      </w:r>
      <w:r w:rsidR="00D56AFD" w:rsidRPr="009C21CB">
        <w:rPr>
          <w:b/>
          <w:sz w:val="21"/>
          <w:szCs w:val="21"/>
        </w:rPr>
        <w:t>)</w:t>
      </w:r>
      <w:r w:rsidR="00992ACB" w:rsidRPr="009C21CB">
        <w:rPr>
          <w:b/>
          <w:sz w:val="21"/>
          <w:szCs w:val="21"/>
        </w:rPr>
        <w:t>.</w:t>
      </w:r>
    </w:p>
    <w:p w14:paraId="269091F8" w14:textId="77777777" w:rsidR="004B3115" w:rsidRDefault="004B3115" w:rsidP="001044AF">
      <w:pPr>
        <w:pStyle w:val="Default"/>
        <w:pBdr>
          <w:top w:val="single" w:sz="4" w:space="1" w:color="auto" w:shadow="1"/>
          <w:left w:val="single" w:sz="4" w:space="4" w:color="auto" w:shadow="1"/>
          <w:bottom w:val="single" w:sz="4" w:space="1" w:color="auto" w:shadow="1"/>
          <w:right w:val="single" w:sz="4" w:space="4" w:color="auto" w:shadow="1"/>
        </w:pBdr>
        <w:spacing w:before="240" w:after="200" w:line="276" w:lineRule="auto"/>
        <w:jc w:val="both"/>
        <w:rPr>
          <w:sz w:val="21"/>
          <w:szCs w:val="21"/>
        </w:rPr>
      </w:pPr>
      <w:r>
        <w:rPr>
          <w:b/>
          <w:sz w:val="21"/>
          <w:szCs w:val="21"/>
        </w:rPr>
        <w:t>Un document d’aide à la composition du tableau synoptique est à la disposition des formations. Il apporte tous éléments nécessaires à son élaboration.</w:t>
      </w:r>
    </w:p>
    <w:p w14:paraId="50DA7AFB" w14:textId="77777777" w:rsidR="004B3115" w:rsidRDefault="004B3115" w:rsidP="004B3115">
      <w:pPr>
        <w:pStyle w:val="Default"/>
        <w:spacing w:after="200" w:line="276" w:lineRule="auto"/>
        <w:jc w:val="both"/>
        <w:rPr>
          <w:sz w:val="21"/>
          <w:szCs w:val="21"/>
        </w:rPr>
      </w:pPr>
      <w:r>
        <w:rPr>
          <w:sz w:val="21"/>
          <w:szCs w:val="21"/>
        </w:rPr>
        <w:t>À la discrétion des formations, d’autres informations peuvent être apportées. Toutefois, le rapport se doit de ne comporter ni informations personnelles, ni extraits des délibérations.</w:t>
      </w:r>
    </w:p>
    <w:p w14:paraId="29E3579F" w14:textId="77777777" w:rsidR="00ED4981" w:rsidRDefault="00ED4981" w:rsidP="001044AF">
      <w:pPr>
        <w:pStyle w:val="Default"/>
        <w:spacing w:line="276" w:lineRule="auto"/>
        <w:jc w:val="both"/>
        <w:rPr>
          <w:sz w:val="16"/>
          <w:szCs w:val="16"/>
        </w:rPr>
      </w:pPr>
    </w:p>
    <w:p w14:paraId="33580B00" w14:textId="4A047CCF" w:rsidR="00E0778A" w:rsidRDefault="00E114C0" w:rsidP="00643B1A">
      <w:pPr>
        <w:pStyle w:val="Default"/>
        <w:numPr>
          <w:ilvl w:val="0"/>
          <w:numId w:val="6"/>
        </w:numPr>
        <w:rPr>
          <w:color w:val="3C556D"/>
          <w:sz w:val="32"/>
          <w:szCs w:val="32"/>
        </w:rPr>
      </w:pPr>
      <w:r>
        <w:rPr>
          <w:noProof/>
          <w:lang w:eastAsia="fr-FR"/>
        </w:rPr>
        <w:drawing>
          <wp:anchor distT="0" distB="0" distL="114300" distR="114300" simplePos="0" relativeHeight="251679744" behindDoc="0" locked="0" layoutInCell="1" allowOverlap="1" wp14:anchorId="79659B71" wp14:editId="2934F4B5">
            <wp:simplePos x="0" y="0"/>
            <wp:positionH relativeFrom="column">
              <wp:posOffset>5949950</wp:posOffset>
            </wp:positionH>
            <wp:positionV relativeFrom="paragraph">
              <wp:posOffset>-675005</wp:posOffset>
            </wp:positionV>
            <wp:extent cx="656590" cy="491490"/>
            <wp:effectExtent l="0" t="0" r="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59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78A">
        <w:rPr>
          <w:color w:val="3C556D"/>
          <w:sz w:val="32"/>
          <w:szCs w:val="32"/>
        </w:rPr>
        <w:t xml:space="preserve">Modalités </w:t>
      </w:r>
      <w:r w:rsidR="001044AF">
        <w:rPr>
          <w:color w:val="3C556D"/>
          <w:sz w:val="32"/>
          <w:szCs w:val="32"/>
        </w:rPr>
        <w:t xml:space="preserve">de saisie </w:t>
      </w:r>
      <w:r w:rsidR="00634E54">
        <w:rPr>
          <w:color w:val="3C556D"/>
          <w:sz w:val="32"/>
          <w:szCs w:val="32"/>
        </w:rPr>
        <w:t xml:space="preserve">et publication du rapport </w:t>
      </w:r>
    </w:p>
    <w:p w14:paraId="53AABC71" w14:textId="77777777" w:rsidR="00E0778A" w:rsidRPr="00252A6F" w:rsidRDefault="00E0778A" w:rsidP="00E0778A">
      <w:pPr>
        <w:pStyle w:val="Default"/>
        <w:rPr>
          <w:color w:val="3C556D"/>
          <w:sz w:val="28"/>
          <w:szCs w:val="28"/>
        </w:rPr>
      </w:pPr>
    </w:p>
    <w:p w14:paraId="65D694D9" w14:textId="4457DE90" w:rsidR="001044AF" w:rsidRDefault="001044AF" w:rsidP="001044AF">
      <w:pPr>
        <w:pStyle w:val="Default"/>
        <w:spacing w:after="200" w:line="276" w:lineRule="auto"/>
        <w:jc w:val="both"/>
        <w:rPr>
          <w:sz w:val="21"/>
          <w:szCs w:val="21"/>
        </w:rPr>
      </w:pPr>
      <w:r>
        <w:rPr>
          <w:sz w:val="21"/>
          <w:szCs w:val="21"/>
        </w:rPr>
        <w:t>Le rapport donn</w:t>
      </w:r>
      <w:r w:rsidR="00DA0658">
        <w:rPr>
          <w:sz w:val="21"/>
          <w:szCs w:val="21"/>
        </w:rPr>
        <w:t>e</w:t>
      </w:r>
      <w:r>
        <w:rPr>
          <w:sz w:val="21"/>
          <w:szCs w:val="21"/>
        </w:rPr>
        <w:t xml:space="preserve"> lieu à une </w:t>
      </w:r>
      <w:r w:rsidR="00ED4981">
        <w:rPr>
          <w:sz w:val="21"/>
          <w:szCs w:val="21"/>
        </w:rPr>
        <w:t xml:space="preserve">saisie </w:t>
      </w:r>
      <w:r w:rsidR="00ED4981" w:rsidRPr="001044AF">
        <w:rPr>
          <w:i/>
          <w:sz w:val="21"/>
          <w:szCs w:val="21"/>
        </w:rPr>
        <w:t>via</w:t>
      </w:r>
      <w:r w:rsidR="00ED4981">
        <w:rPr>
          <w:sz w:val="21"/>
          <w:szCs w:val="21"/>
        </w:rPr>
        <w:t xml:space="preserve"> une interface du site de gestion Parcoursup</w:t>
      </w:r>
      <w:r w:rsidR="00C5726F" w:rsidRPr="00DA0658">
        <w:rPr>
          <w:sz w:val="21"/>
          <w:szCs w:val="21"/>
        </w:rPr>
        <w:t>,</w:t>
      </w:r>
      <w:r w:rsidR="00ED4981" w:rsidRPr="00DA0658">
        <w:rPr>
          <w:sz w:val="21"/>
          <w:szCs w:val="21"/>
        </w:rPr>
        <w:t xml:space="preserve"> </w:t>
      </w:r>
      <w:r w:rsidR="00EA4C6C" w:rsidRPr="0037587B">
        <w:rPr>
          <w:b/>
          <w:sz w:val="21"/>
          <w:szCs w:val="21"/>
        </w:rPr>
        <w:t xml:space="preserve">accessible </w:t>
      </w:r>
      <w:r w:rsidR="0037587B">
        <w:rPr>
          <w:b/>
          <w:sz w:val="21"/>
          <w:szCs w:val="21"/>
        </w:rPr>
        <w:t xml:space="preserve">début </w:t>
      </w:r>
      <w:r w:rsidR="00EA4C6C" w:rsidRPr="0037587B">
        <w:rPr>
          <w:b/>
          <w:sz w:val="21"/>
          <w:szCs w:val="21"/>
        </w:rPr>
        <w:t>septembre 202</w:t>
      </w:r>
      <w:r w:rsidR="0037587B">
        <w:rPr>
          <w:b/>
          <w:sz w:val="21"/>
          <w:szCs w:val="21"/>
        </w:rPr>
        <w:t>2</w:t>
      </w:r>
      <w:r>
        <w:rPr>
          <w:sz w:val="21"/>
          <w:szCs w:val="21"/>
        </w:rPr>
        <w:t>.</w:t>
      </w:r>
    </w:p>
    <w:p w14:paraId="3F05143C" w14:textId="11DD6EAC" w:rsidR="00D557DD" w:rsidRPr="00D557DD" w:rsidRDefault="00D557DD" w:rsidP="00D557DD">
      <w:pPr>
        <w:pStyle w:val="Corpsdetexte"/>
        <w:spacing w:after="120"/>
        <w:jc w:val="both"/>
        <w:rPr>
          <w:b/>
        </w:rPr>
      </w:pPr>
      <w:r w:rsidRPr="00D557DD">
        <w:rPr>
          <w:b/>
        </w:rPr>
        <w:t>L</w:t>
      </w:r>
      <w:r w:rsidRPr="00D557DD">
        <w:rPr>
          <w:b/>
        </w:rPr>
        <w:t>e rapport public d’examen des vœux</w:t>
      </w:r>
      <w:r w:rsidRPr="00D557DD">
        <w:rPr>
          <w:b/>
        </w:rPr>
        <w:t xml:space="preserve"> est électroniquement signé par </w:t>
      </w:r>
      <w:r w:rsidRPr="00D557DD">
        <w:rPr>
          <w:b/>
        </w:rPr>
        <w:t xml:space="preserve">chaque chef d’établissement </w:t>
      </w:r>
      <w:r w:rsidRPr="00D557DD">
        <w:rPr>
          <w:b/>
        </w:rPr>
        <w:t>qui en endosse la responsabilité.</w:t>
      </w:r>
      <w:bookmarkStart w:id="0" w:name="_GoBack"/>
      <w:bookmarkEnd w:id="0"/>
    </w:p>
    <w:p w14:paraId="67EEC1FC" w14:textId="2894826A" w:rsidR="00C832B8" w:rsidRDefault="001044AF" w:rsidP="00634E54">
      <w:pPr>
        <w:pStyle w:val="Default"/>
        <w:spacing w:after="200" w:line="276" w:lineRule="auto"/>
        <w:jc w:val="both"/>
        <w:rPr>
          <w:sz w:val="21"/>
          <w:szCs w:val="21"/>
        </w:rPr>
      </w:pPr>
      <w:r w:rsidRPr="0037587B">
        <w:rPr>
          <w:sz w:val="21"/>
          <w:szCs w:val="21"/>
          <w:u w:val="single"/>
        </w:rPr>
        <w:t xml:space="preserve">Le rapport </w:t>
      </w:r>
      <w:r w:rsidR="00DA0658" w:rsidRPr="0037587B">
        <w:rPr>
          <w:sz w:val="21"/>
          <w:szCs w:val="21"/>
          <w:u w:val="single"/>
        </w:rPr>
        <w:t xml:space="preserve">est ensuite </w:t>
      </w:r>
      <w:r w:rsidRPr="0037587B">
        <w:rPr>
          <w:sz w:val="21"/>
          <w:szCs w:val="21"/>
          <w:u w:val="single"/>
        </w:rPr>
        <w:t xml:space="preserve">publié </w:t>
      </w:r>
      <w:r w:rsidRPr="0037587B">
        <w:rPr>
          <w:b/>
          <w:sz w:val="21"/>
          <w:szCs w:val="21"/>
          <w:u w:val="single"/>
        </w:rPr>
        <w:t>à l’issue de la procédure nationale</w:t>
      </w:r>
      <w:r w:rsidRPr="0037587B">
        <w:rPr>
          <w:sz w:val="21"/>
          <w:szCs w:val="21"/>
          <w:u w:val="single"/>
        </w:rPr>
        <w:t xml:space="preserve"> de préinscription Parcoursup</w:t>
      </w:r>
      <w:r w:rsidR="00EA4C6C" w:rsidRPr="0037587B">
        <w:rPr>
          <w:sz w:val="21"/>
          <w:szCs w:val="21"/>
          <w:u w:val="single"/>
        </w:rPr>
        <w:t xml:space="preserve"> et au plus tard </w:t>
      </w:r>
      <w:r w:rsidR="00084338">
        <w:rPr>
          <w:sz w:val="21"/>
          <w:szCs w:val="21"/>
          <w:u w:val="single"/>
        </w:rPr>
        <w:t>à la mi-octobre</w:t>
      </w:r>
      <w:r w:rsidR="00EA4C6C" w:rsidRPr="0037587B">
        <w:rPr>
          <w:sz w:val="21"/>
          <w:szCs w:val="21"/>
          <w:u w:val="single"/>
        </w:rPr>
        <w:t xml:space="preserve"> 202</w:t>
      </w:r>
      <w:r w:rsidR="0037587B">
        <w:rPr>
          <w:sz w:val="21"/>
          <w:szCs w:val="21"/>
          <w:u w:val="single"/>
        </w:rPr>
        <w:t>2</w:t>
      </w:r>
      <w:r w:rsidRPr="00C832B8">
        <w:rPr>
          <w:sz w:val="21"/>
          <w:szCs w:val="21"/>
        </w:rPr>
        <w:t>.</w:t>
      </w:r>
      <w:r w:rsidR="00C832B8">
        <w:rPr>
          <w:sz w:val="21"/>
          <w:szCs w:val="21"/>
        </w:rPr>
        <w:t xml:space="preserve"> Il</w:t>
      </w:r>
      <w:r w:rsidR="009125F9">
        <w:rPr>
          <w:sz w:val="21"/>
          <w:szCs w:val="21"/>
        </w:rPr>
        <w:t xml:space="preserve"> est </w:t>
      </w:r>
      <w:r w:rsidR="00ED4981">
        <w:rPr>
          <w:sz w:val="21"/>
          <w:szCs w:val="21"/>
        </w:rPr>
        <w:t>rendu</w:t>
      </w:r>
      <w:r w:rsidR="009125F9">
        <w:rPr>
          <w:sz w:val="21"/>
          <w:szCs w:val="21"/>
        </w:rPr>
        <w:t xml:space="preserve"> consultable pour une année sur la plateforme Parcoursup, sous </w:t>
      </w:r>
      <w:r w:rsidR="00D56AFD">
        <w:rPr>
          <w:sz w:val="21"/>
          <w:szCs w:val="21"/>
        </w:rPr>
        <w:t>la forme d’un</w:t>
      </w:r>
      <w:r w:rsidR="009125F9">
        <w:rPr>
          <w:sz w:val="21"/>
          <w:szCs w:val="21"/>
        </w:rPr>
        <w:t xml:space="preserve"> </w:t>
      </w:r>
      <w:r w:rsidR="00ED4981">
        <w:rPr>
          <w:sz w:val="21"/>
          <w:szCs w:val="21"/>
        </w:rPr>
        <w:t xml:space="preserve">accès via la page de la formation sur Parcoursup. </w:t>
      </w:r>
    </w:p>
    <w:p w14:paraId="485689C1" w14:textId="4ADB6114" w:rsidR="009125F9" w:rsidRDefault="00ED4981" w:rsidP="00634E54">
      <w:pPr>
        <w:pStyle w:val="Default"/>
        <w:spacing w:after="200" w:line="276" w:lineRule="auto"/>
        <w:jc w:val="both"/>
        <w:rPr>
          <w:sz w:val="21"/>
          <w:szCs w:val="21"/>
        </w:rPr>
      </w:pPr>
      <w:r>
        <w:rPr>
          <w:sz w:val="21"/>
          <w:szCs w:val="21"/>
        </w:rPr>
        <w:t xml:space="preserve">Il </w:t>
      </w:r>
      <w:r w:rsidR="00C832B8">
        <w:rPr>
          <w:sz w:val="21"/>
          <w:szCs w:val="21"/>
        </w:rPr>
        <w:t>doit</w:t>
      </w:r>
      <w:r>
        <w:rPr>
          <w:sz w:val="21"/>
          <w:szCs w:val="21"/>
        </w:rPr>
        <w:t xml:space="preserve"> également </w:t>
      </w:r>
      <w:r w:rsidR="00C832B8">
        <w:rPr>
          <w:sz w:val="21"/>
          <w:szCs w:val="21"/>
        </w:rPr>
        <w:t xml:space="preserve">être </w:t>
      </w:r>
      <w:r>
        <w:rPr>
          <w:sz w:val="21"/>
          <w:szCs w:val="21"/>
        </w:rPr>
        <w:t>publié sous un format exportable sur le site institutionnel de l’établissement.</w:t>
      </w:r>
    </w:p>
    <w:p w14:paraId="5E8E9418" w14:textId="6384D9CD" w:rsidR="0063433B" w:rsidRPr="00084338" w:rsidRDefault="00F6120C" w:rsidP="00084338">
      <w:pPr>
        <w:pStyle w:val="Default"/>
        <w:pBdr>
          <w:top w:val="single" w:sz="4" w:space="1" w:color="auto" w:shadow="1"/>
          <w:left w:val="single" w:sz="4" w:space="4" w:color="auto" w:shadow="1"/>
          <w:bottom w:val="single" w:sz="4" w:space="1" w:color="auto" w:shadow="1"/>
          <w:right w:val="single" w:sz="4" w:space="4" w:color="auto" w:shadow="1"/>
        </w:pBdr>
        <w:spacing w:before="240" w:after="200" w:line="276" w:lineRule="auto"/>
        <w:jc w:val="both"/>
        <w:rPr>
          <w:color w:val="FF0000"/>
          <w:sz w:val="21"/>
          <w:szCs w:val="21"/>
        </w:rPr>
      </w:pPr>
      <w:r w:rsidRPr="00084338">
        <w:rPr>
          <w:b/>
          <w:color w:val="FF0000"/>
          <w:sz w:val="21"/>
          <w:szCs w:val="21"/>
        </w:rPr>
        <w:t>Un document Word reprenant le cadre de saisie du rapport d’examen des vœux est disponible afin d’en préparer la rédaction avant l’ouverture de l’interface prévue à cet effet sur le site de gestion.</w:t>
      </w:r>
    </w:p>
    <w:p w14:paraId="3B066B7C" w14:textId="77777777" w:rsidR="00F6120C" w:rsidRPr="009125F9" w:rsidRDefault="00F6120C" w:rsidP="009125F9">
      <w:pPr>
        <w:pStyle w:val="Default"/>
        <w:rPr>
          <w:sz w:val="16"/>
          <w:szCs w:val="16"/>
        </w:rPr>
      </w:pPr>
    </w:p>
    <w:p w14:paraId="1ED44BFD" w14:textId="57C4159F" w:rsidR="0063433B" w:rsidRDefault="0063433B" w:rsidP="00643B1A">
      <w:pPr>
        <w:pStyle w:val="Default"/>
        <w:numPr>
          <w:ilvl w:val="0"/>
          <w:numId w:val="6"/>
        </w:numPr>
        <w:rPr>
          <w:color w:val="3C556D"/>
          <w:sz w:val="32"/>
          <w:szCs w:val="32"/>
        </w:rPr>
      </w:pPr>
      <w:r>
        <w:rPr>
          <w:color w:val="3C556D"/>
          <w:sz w:val="32"/>
          <w:szCs w:val="32"/>
        </w:rPr>
        <w:t xml:space="preserve">Lien avec les demandes d’information </w:t>
      </w:r>
      <w:r w:rsidR="009125F9">
        <w:rPr>
          <w:color w:val="3C556D"/>
          <w:sz w:val="32"/>
          <w:szCs w:val="32"/>
        </w:rPr>
        <w:t>formulées par les candidats</w:t>
      </w:r>
    </w:p>
    <w:p w14:paraId="5173F8A2" w14:textId="77777777" w:rsidR="0063433B" w:rsidRPr="00252A6F" w:rsidRDefault="0063433B" w:rsidP="0063433B">
      <w:pPr>
        <w:pStyle w:val="Default"/>
        <w:rPr>
          <w:color w:val="3C556D"/>
          <w:sz w:val="28"/>
          <w:szCs w:val="28"/>
        </w:rPr>
      </w:pPr>
    </w:p>
    <w:p w14:paraId="37AB8D95" w14:textId="31C8A9AE" w:rsidR="009125F9" w:rsidRDefault="0063433B" w:rsidP="009125F9">
      <w:pPr>
        <w:pStyle w:val="Default"/>
        <w:spacing w:after="200" w:line="276" w:lineRule="auto"/>
        <w:jc w:val="both"/>
        <w:rPr>
          <w:sz w:val="21"/>
          <w:szCs w:val="21"/>
        </w:rPr>
      </w:pPr>
      <w:r w:rsidRPr="003B1427">
        <w:rPr>
          <w:sz w:val="21"/>
          <w:szCs w:val="21"/>
        </w:rPr>
        <w:t>L</w:t>
      </w:r>
      <w:r>
        <w:rPr>
          <w:sz w:val="21"/>
          <w:szCs w:val="21"/>
        </w:rPr>
        <w:t xml:space="preserve">a rédaction du rapport </w:t>
      </w:r>
      <w:r w:rsidR="009125F9">
        <w:rPr>
          <w:sz w:val="21"/>
          <w:szCs w:val="21"/>
        </w:rPr>
        <w:t xml:space="preserve">public </w:t>
      </w:r>
      <w:r w:rsidR="00F40B4A">
        <w:rPr>
          <w:sz w:val="21"/>
          <w:szCs w:val="21"/>
        </w:rPr>
        <w:t xml:space="preserve">d’examen des vœux </w:t>
      </w:r>
      <w:r>
        <w:rPr>
          <w:sz w:val="21"/>
          <w:szCs w:val="21"/>
        </w:rPr>
        <w:t xml:space="preserve">ne dispense pas les établissements de répondre aux éventuelles demandes </w:t>
      </w:r>
      <w:r w:rsidR="009125F9">
        <w:rPr>
          <w:sz w:val="21"/>
          <w:szCs w:val="21"/>
        </w:rPr>
        <w:t>de candidats souhaitant avoir des informations sur les modalités et critères d’examen des vœux et sur les motifs pédagogiques qui justifient la décision prise à leur égard.</w:t>
      </w:r>
      <w:r>
        <w:rPr>
          <w:sz w:val="21"/>
          <w:szCs w:val="21"/>
        </w:rPr>
        <w:t xml:space="preserve"> </w:t>
      </w:r>
    </w:p>
    <w:p w14:paraId="5680EE8F" w14:textId="77777777" w:rsidR="001658B7" w:rsidRDefault="009125F9" w:rsidP="009125F9">
      <w:pPr>
        <w:pStyle w:val="Default"/>
        <w:spacing w:after="200" w:line="276" w:lineRule="auto"/>
        <w:jc w:val="both"/>
        <w:rPr>
          <w:sz w:val="21"/>
          <w:szCs w:val="21"/>
        </w:rPr>
      </w:pPr>
      <w:r>
        <w:rPr>
          <w:sz w:val="21"/>
          <w:szCs w:val="21"/>
        </w:rPr>
        <w:t xml:space="preserve">Cet accès à l’information, garanti par </w:t>
      </w:r>
      <w:r w:rsidR="000A7F43">
        <w:rPr>
          <w:sz w:val="21"/>
          <w:szCs w:val="21"/>
        </w:rPr>
        <w:t xml:space="preserve">le dernier alinéa du paragraphe I de l’article </w:t>
      </w:r>
      <w:r w:rsidR="0063433B">
        <w:rPr>
          <w:sz w:val="21"/>
          <w:szCs w:val="21"/>
        </w:rPr>
        <w:t>L</w:t>
      </w:r>
      <w:r w:rsidR="00491A3F">
        <w:rPr>
          <w:sz w:val="21"/>
          <w:szCs w:val="21"/>
        </w:rPr>
        <w:t xml:space="preserve">. </w:t>
      </w:r>
      <w:r w:rsidR="000A7F43">
        <w:rPr>
          <w:sz w:val="21"/>
          <w:szCs w:val="21"/>
        </w:rPr>
        <w:t xml:space="preserve">612-3, issu de la loi ORE, </w:t>
      </w:r>
      <w:r w:rsidR="00491A3F">
        <w:rPr>
          <w:sz w:val="21"/>
          <w:szCs w:val="21"/>
        </w:rPr>
        <w:t xml:space="preserve">et </w:t>
      </w:r>
      <w:r w:rsidR="000A7F43">
        <w:rPr>
          <w:sz w:val="21"/>
          <w:szCs w:val="21"/>
        </w:rPr>
        <w:t xml:space="preserve">par le dernier alinéa de l’article </w:t>
      </w:r>
      <w:r w:rsidR="00491A3F">
        <w:rPr>
          <w:sz w:val="21"/>
          <w:szCs w:val="21"/>
        </w:rPr>
        <w:t xml:space="preserve">D. 612-1-14 </w:t>
      </w:r>
      <w:r w:rsidR="0063433B">
        <w:rPr>
          <w:sz w:val="21"/>
          <w:szCs w:val="21"/>
        </w:rPr>
        <w:t>du code de l’éducation</w:t>
      </w:r>
      <w:r w:rsidR="00D56AFD">
        <w:rPr>
          <w:sz w:val="21"/>
          <w:szCs w:val="21"/>
        </w:rPr>
        <w:t>, requiert</w:t>
      </w:r>
      <w:r w:rsidR="0063433B">
        <w:rPr>
          <w:sz w:val="21"/>
          <w:szCs w:val="21"/>
        </w:rPr>
        <w:t xml:space="preserve"> une réponse p</w:t>
      </w:r>
      <w:r w:rsidR="00491A3F">
        <w:rPr>
          <w:sz w:val="21"/>
          <w:szCs w:val="21"/>
        </w:rPr>
        <w:t xml:space="preserve">ersonnalisée des établissements dans le délai de deux mois à compter de la réception de la demande. </w:t>
      </w:r>
    </w:p>
    <w:p w14:paraId="691642E1" w14:textId="10E70D7C" w:rsidR="0063433B" w:rsidRDefault="00E67E53" w:rsidP="009125F9">
      <w:pPr>
        <w:pStyle w:val="Default"/>
        <w:spacing w:after="200" w:line="276" w:lineRule="auto"/>
        <w:jc w:val="both"/>
        <w:rPr>
          <w:sz w:val="21"/>
          <w:szCs w:val="21"/>
        </w:rPr>
      </w:pPr>
      <w:r>
        <w:rPr>
          <w:sz w:val="21"/>
          <w:szCs w:val="21"/>
        </w:rPr>
        <w:t xml:space="preserve">Pour plus d’informations sur les réponses aux demandes d’information formulées par les candidats, </w:t>
      </w:r>
      <w:r w:rsidR="00504D1D">
        <w:rPr>
          <w:sz w:val="21"/>
          <w:szCs w:val="21"/>
        </w:rPr>
        <w:t>des</w:t>
      </w:r>
      <w:r w:rsidR="001658B7">
        <w:rPr>
          <w:sz w:val="21"/>
          <w:szCs w:val="21"/>
        </w:rPr>
        <w:t xml:space="preserve"> </w:t>
      </w:r>
      <w:r w:rsidR="00491A3F">
        <w:rPr>
          <w:sz w:val="21"/>
          <w:szCs w:val="21"/>
        </w:rPr>
        <w:t>note</w:t>
      </w:r>
      <w:r w:rsidR="001658B7">
        <w:rPr>
          <w:sz w:val="21"/>
          <w:szCs w:val="21"/>
        </w:rPr>
        <w:t>s</w:t>
      </w:r>
      <w:r w:rsidR="00491A3F">
        <w:rPr>
          <w:sz w:val="21"/>
          <w:szCs w:val="21"/>
        </w:rPr>
        <w:t xml:space="preserve"> de cadrage spécifiqu</w:t>
      </w:r>
      <w:r w:rsidR="001658B7">
        <w:rPr>
          <w:sz w:val="21"/>
          <w:szCs w:val="21"/>
        </w:rPr>
        <w:t>es</w:t>
      </w:r>
      <w:r w:rsidR="00491A3F">
        <w:rPr>
          <w:sz w:val="21"/>
          <w:szCs w:val="21"/>
        </w:rPr>
        <w:t xml:space="preserve"> </w:t>
      </w:r>
      <w:r w:rsidR="001658B7">
        <w:rPr>
          <w:sz w:val="21"/>
          <w:szCs w:val="21"/>
        </w:rPr>
        <w:t xml:space="preserve">sont </w:t>
      </w:r>
      <w:r>
        <w:rPr>
          <w:sz w:val="21"/>
          <w:szCs w:val="21"/>
        </w:rPr>
        <w:t>à la disposition des établissements</w:t>
      </w:r>
      <w:r w:rsidR="00504D1D">
        <w:rPr>
          <w:sz w:val="21"/>
          <w:szCs w:val="21"/>
        </w:rPr>
        <w:t xml:space="preserve"> sur le site de gestion Parcoursup</w:t>
      </w:r>
      <w:r w:rsidR="00491A3F">
        <w:rPr>
          <w:sz w:val="21"/>
          <w:szCs w:val="21"/>
        </w:rPr>
        <w:t>.</w:t>
      </w:r>
    </w:p>
    <w:p w14:paraId="2C747023" w14:textId="77777777" w:rsidR="00367431" w:rsidRPr="009125F9" w:rsidRDefault="00367431" w:rsidP="009125F9">
      <w:pPr>
        <w:pStyle w:val="Default"/>
        <w:spacing w:after="200" w:line="276" w:lineRule="auto"/>
        <w:jc w:val="both"/>
        <w:rPr>
          <w:sz w:val="21"/>
          <w:szCs w:val="21"/>
        </w:rPr>
      </w:pPr>
    </w:p>
    <w:p w14:paraId="0AD11824" w14:textId="77777777" w:rsidR="004014E9" w:rsidRDefault="004014E9" w:rsidP="003B1427">
      <w:pPr>
        <w:pStyle w:val="Default"/>
        <w:rPr>
          <w:rFonts w:asciiTheme="minorHAnsi" w:hAnsiTheme="minorHAnsi"/>
          <w:sz w:val="18"/>
          <w:szCs w:val="18"/>
        </w:rPr>
        <w:sectPr w:rsidR="004014E9" w:rsidSect="00227C8E">
          <w:headerReference w:type="first" r:id="rId10"/>
          <w:pgSz w:w="11906" w:h="16838"/>
          <w:pgMar w:top="1417" w:right="1417" w:bottom="1417" w:left="1417" w:header="708" w:footer="708" w:gutter="0"/>
          <w:cols w:space="708"/>
          <w:titlePg/>
          <w:docGrid w:linePitch="360"/>
        </w:sectPr>
      </w:pPr>
    </w:p>
    <w:p w14:paraId="32B63465" w14:textId="580B1F7B" w:rsidR="00E03574" w:rsidRPr="00E27EFB" w:rsidRDefault="004014E9" w:rsidP="00E27EFB">
      <w:pPr>
        <w:pStyle w:val="Default"/>
        <w:jc w:val="center"/>
        <w:rPr>
          <w:rFonts w:asciiTheme="minorHAnsi" w:hAnsiTheme="minorHAnsi"/>
          <w:sz w:val="18"/>
          <w:szCs w:val="18"/>
        </w:rPr>
      </w:pPr>
      <w:r>
        <w:rPr>
          <w:noProof/>
          <w:lang w:eastAsia="fr-FR"/>
        </w:rPr>
        <w:lastRenderedPageBreak/>
        <w:drawing>
          <wp:anchor distT="0" distB="0" distL="114300" distR="114300" simplePos="0" relativeHeight="251671552" behindDoc="0" locked="0" layoutInCell="1" allowOverlap="1" wp14:anchorId="2A324D6C" wp14:editId="0C3FBEDA">
            <wp:simplePos x="0" y="0"/>
            <wp:positionH relativeFrom="column">
              <wp:posOffset>8830310</wp:posOffset>
            </wp:positionH>
            <wp:positionV relativeFrom="paragraph">
              <wp:posOffset>-571500</wp:posOffset>
            </wp:positionV>
            <wp:extent cx="656590" cy="491490"/>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59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94F">
        <w:rPr>
          <w:color w:val="3C556D"/>
          <w:sz w:val="32"/>
          <w:szCs w:val="32"/>
        </w:rPr>
        <w:t>Annexe</w:t>
      </w:r>
      <w:r w:rsidR="00E03574">
        <w:rPr>
          <w:color w:val="3C556D"/>
          <w:sz w:val="32"/>
          <w:szCs w:val="32"/>
        </w:rPr>
        <w:t xml:space="preserve"> – Tableau-type</w:t>
      </w:r>
    </w:p>
    <w:p w14:paraId="66D9645C" w14:textId="77777777" w:rsidR="004B3115" w:rsidRPr="00E03574" w:rsidRDefault="004B3115" w:rsidP="007D1D23">
      <w:pPr>
        <w:spacing w:line="240" w:lineRule="auto"/>
        <w:jc w:val="both"/>
        <w:rPr>
          <w:color w:val="3C556D"/>
          <w:sz w:val="18"/>
          <w:szCs w:val="18"/>
        </w:rPr>
      </w:pPr>
    </w:p>
    <w:tbl>
      <w:tblPr>
        <w:tblStyle w:val="Grilledutableau"/>
        <w:tblW w:w="15989" w:type="dxa"/>
        <w:jc w:val="center"/>
        <w:tblLayout w:type="fixed"/>
        <w:tblLook w:val="04A0" w:firstRow="1" w:lastRow="0" w:firstColumn="1" w:lastColumn="0" w:noHBand="0" w:noVBand="1"/>
      </w:tblPr>
      <w:tblGrid>
        <w:gridCol w:w="3989"/>
        <w:gridCol w:w="3094"/>
        <w:gridCol w:w="3094"/>
        <w:gridCol w:w="3685"/>
        <w:gridCol w:w="2127"/>
      </w:tblGrid>
      <w:tr w:rsidR="00EA4C6C" w:rsidRPr="00E03574" w14:paraId="58DA28B4" w14:textId="77777777" w:rsidTr="00FD4CAA">
        <w:trPr>
          <w:trHeight w:val="1456"/>
          <w:jc w:val="center"/>
        </w:trPr>
        <w:tc>
          <w:tcPr>
            <w:tcW w:w="3989" w:type="dxa"/>
            <w:vAlign w:val="center"/>
          </w:tcPr>
          <w:p w14:paraId="4DCD13EA" w14:textId="7A225498" w:rsidR="00EA4C6C" w:rsidRPr="00E03574" w:rsidRDefault="00EA4C6C" w:rsidP="004B3115">
            <w:pPr>
              <w:jc w:val="center"/>
              <w:rPr>
                <w:rFonts w:ascii="Corbel" w:hAnsi="Corbel"/>
                <w:b/>
                <w:sz w:val="21"/>
                <w:szCs w:val="21"/>
              </w:rPr>
            </w:pPr>
            <w:r>
              <w:rPr>
                <w:rFonts w:ascii="Corbel" w:hAnsi="Corbel"/>
                <w:b/>
                <w:sz w:val="21"/>
                <w:szCs w:val="21"/>
              </w:rPr>
              <w:t>Champs d’évaluation</w:t>
            </w:r>
          </w:p>
        </w:tc>
        <w:tc>
          <w:tcPr>
            <w:tcW w:w="3094" w:type="dxa"/>
            <w:vAlign w:val="center"/>
          </w:tcPr>
          <w:p w14:paraId="383725BA" w14:textId="15F43934" w:rsidR="00EA4C6C" w:rsidRPr="00E03574" w:rsidRDefault="00EA4C6C" w:rsidP="00F6120C">
            <w:pPr>
              <w:jc w:val="center"/>
              <w:rPr>
                <w:rFonts w:ascii="Corbel" w:hAnsi="Corbel"/>
                <w:b/>
                <w:sz w:val="21"/>
                <w:szCs w:val="21"/>
              </w:rPr>
            </w:pPr>
            <w:r>
              <w:rPr>
                <w:rFonts w:ascii="Corbel" w:hAnsi="Corbel"/>
                <w:b/>
                <w:sz w:val="21"/>
                <w:szCs w:val="21"/>
              </w:rPr>
              <w:t>Rappel des c</w:t>
            </w:r>
            <w:r w:rsidRPr="00E03574">
              <w:rPr>
                <w:rFonts w:ascii="Corbel" w:hAnsi="Corbel"/>
                <w:b/>
                <w:sz w:val="21"/>
                <w:szCs w:val="21"/>
              </w:rPr>
              <w:t>ritères généraux</w:t>
            </w:r>
            <w:r>
              <w:rPr>
                <w:rFonts w:ascii="Corbel" w:hAnsi="Corbel"/>
                <w:b/>
                <w:sz w:val="21"/>
                <w:szCs w:val="21"/>
              </w:rPr>
              <w:t xml:space="preserve"> d’examen des vœux publiés sur Parcoursup</w:t>
            </w:r>
          </w:p>
        </w:tc>
        <w:tc>
          <w:tcPr>
            <w:tcW w:w="3094" w:type="dxa"/>
            <w:vAlign w:val="center"/>
          </w:tcPr>
          <w:p w14:paraId="4053FAEA" w14:textId="2074B457" w:rsidR="00EA4C6C" w:rsidRPr="00E03574" w:rsidRDefault="00EA4C6C" w:rsidP="006D0524">
            <w:pPr>
              <w:jc w:val="center"/>
              <w:rPr>
                <w:rFonts w:ascii="Corbel" w:hAnsi="Corbel"/>
                <w:b/>
                <w:sz w:val="21"/>
                <w:szCs w:val="21"/>
              </w:rPr>
            </w:pPr>
            <w:r w:rsidRPr="00E03574">
              <w:rPr>
                <w:rFonts w:ascii="Corbel" w:hAnsi="Corbel"/>
                <w:b/>
                <w:sz w:val="21"/>
                <w:szCs w:val="21"/>
              </w:rPr>
              <w:t xml:space="preserve">Critères </w:t>
            </w:r>
            <w:r>
              <w:rPr>
                <w:rFonts w:ascii="Corbel" w:hAnsi="Corbel"/>
                <w:b/>
                <w:sz w:val="21"/>
                <w:szCs w:val="21"/>
              </w:rPr>
              <w:t xml:space="preserve">retenus par la commission d’examen des vœux </w:t>
            </w:r>
          </w:p>
        </w:tc>
        <w:tc>
          <w:tcPr>
            <w:tcW w:w="3685" w:type="dxa"/>
            <w:vAlign w:val="center"/>
          </w:tcPr>
          <w:p w14:paraId="70CDA70A" w14:textId="08B6DBBB" w:rsidR="00EA4C6C" w:rsidRPr="00E03574" w:rsidRDefault="00EA4C6C" w:rsidP="00D56AFD">
            <w:pPr>
              <w:jc w:val="center"/>
              <w:rPr>
                <w:rFonts w:ascii="Corbel" w:hAnsi="Corbel"/>
                <w:b/>
                <w:sz w:val="21"/>
                <w:szCs w:val="21"/>
              </w:rPr>
            </w:pPr>
            <w:r>
              <w:rPr>
                <w:rFonts w:ascii="Corbel" w:hAnsi="Corbel"/>
                <w:b/>
                <w:sz w:val="21"/>
                <w:szCs w:val="21"/>
              </w:rPr>
              <w:t>Éléments pri</w:t>
            </w:r>
            <w:r w:rsidRPr="00E03574">
              <w:rPr>
                <w:rFonts w:ascii="Corbel" w:hAnsi="Corbel"/>
                <w:b/>
                <w:sz w:val="21"/>
                <w:szCs w:val="21"/>
              </w:rPr>
              <w:t>s en compte</w:t>
            </w:r>
            <w:r>
              <w:rPr>
                <w:rFonts w:ascii="Corbel" w:hAnsi="Corbel"/>
                <w:b/>
                <w:sz w:val="21"/>
                <w:szCs w:val="21"/>
              </w:rPr>
              <w:t xml:space="preserve"> pour l’évaluation des critères</w:t>
            </w:r>
          </w:p>
        </w:tc>
        <w:tc>
          <w:tcPr>
            <w:tcW w:w="2127" w:type="dxa"/>
            <w:vAlign w:val="center"/>
          </w:tcPr>
          <w:p w14:paraId="1C8E2824" w14:textId="453EFF3D" w:rsidR="00EA4C6C" w:rsidRPr="00E84F30" w:rsidRDefault="00EA4C6C" w:rsidP="00E84F30">
            <w:pPr>
              <w:jc w:val="center"/>
              <w:rPr>
                <w:rFonts w:ascii="Corbel" w:hAnsi="Corbel"/>
                <w:b/>
                <w:sz w:val="16"/>
                <w:szCs w:val="16"/>
              </w:rPr>
            </w:pPr>
            <w:r>
              <w:rPr>
                <w:rFonts w:ascii="Corbel" w:hAnsi="Corbel"/>
                <w:b/>
                <w:sz w:val="21"/>
                <w:szCs w:val="21"/>
              </w:rPr>
              <w:t>Degrés d’importance des critères</w:t>
            </w:r>
          </w:p>
        </w:tc>
      </w:tr>
      <w:tr w:rsidR="00EA4C6C" w:rsidRPr="00E03574" w14:paraId="36465B05" w14:textId="77777777" w:rsidTr="00EA4C6C">
        <w:trPr>
          <w:trHeight w:val="1025"/>
          <w:jc w:val="center"/>
        </w:trPr>
        <w:tc>
          <w:tcPr>
            <w:tcW w:w="3989" w:type="dxa"/>
            <w:vAlign w:val="center"/>
          </w:tcPr>
          <w:p w14:paraId="4458645F" w14:textId="1CD297A3" w:rsidR="00EA4C6C" w:rsidRPr="00E03574" w:rsidRDefault="00EA4C6C" w:rsidP="004B3115">
            <w:pPr>
              <w:jc w:val="center"/>
              <w:rPr>
                <w:rFonts w:ascii="Corbel" w:hAnsi="Corbel"/>
                <w:i/>
                <w:sz w:val="21"/>
                <w:szCs w:val="21"/>
              </w:rPr>
            </w:pPr>
            <w:r w:rsidRPr="00E03574">
              <w:rPr>
                <w:rFonts w:ascii="Corbel" w:hAnsi="Corbel"/>
                <w:i/>
                <w:sz w:val="21"/>
                <w:szCs w:val="21"/>
              </w:rPr>
              <w:t>Résultats académiques</w:t>
            </w:r>
          </w:p>
        </w:tc>
        <w:tc>
          <w:tcPr>
            <w:tcW w:w="3094" w:type="dxa"/>
          </w:tcPr>
          <w:p w14:paraId="7942AC94" w14:textId="77777777" w:rsidR="00EA4C6C" w:rsidRPr="00E03574" w:rsidRDefault="00EA4C6C" w:rsidP="00E03574">
            <w:pPr>
              <w:jc w:val="center"/>
              <w:rPr>
                <w:rFonts w:ascii="Corbel" w:hAnsi="Corbel"/>
                <w:b/>
                <w:sz w:val="21"/>
                <w:szCs w:val="21"/>
              </w:rPr>
            </w:pPr>
          </w:p>
        </w:tc>
        <w:tc>
          <w:tcPr>
            <w:tcW w:w="3094" w:type="dxa"/>
            <w:vAlign w:val="center"/>
          </w:tcPr>
          <w:p w14:paraId="002233DD" w14:textId="36AF2C49" w:rsidR="00EA4C6C" w:rsidRPr="00E03574" w:rsidRDefault="00EA4C6C" w:rsidP="00E03574">
            <w:pPr>
              <w:jc w:val="center"/>
              <w:rPr>
                <w:rFonts w:ascii="Corbel" w:hAnsi="Corbel"/>
                <w:b/>
                <w:sz w:val="21"/>
                <w:szCs w:val="21"/>
              </w:rPr>
            </w:pPr>
          </w:p>
        </w:tc>
        <w:tc>
          <w:tcPr>
            <w:tcW w:w="3685" w:type="dxa"/>
            <w:vAlign w:val="center"/>
          </w:tcPr>
          <w:p w14:paraId="3B2C547E" w14:textId="77777777" w:rsidR="00EA4C6C" w:rsidRPr="00E03574" w:rsidRDefault="00EA4C6C" w:rsidP="00E03574">
            <w:pPr>
              <w:jc w:val="center"/>
              <w:rPr>
                <w:rFonts w:ascii="Corbel" w:hAnsi="Corbel"/>
                <w:b/>
                <w:sz w:val="21"/>
                <w:szCs w:val="21"/>
              </w:rPr>
            </w:pPr>
          </w:p>
        </w:tc>
        <w:tc>
          <w:tcPr>
            <w:tcW w:w="2127" w:type="dxa"/>
            <w:vAlign w:val="center"/>
          </w:tcPr>
          <w:p w14:paraId="2EB229E3" w14:textId="2DBB2DFB" w:rsidR="00EA4C6C" w:rsidRPr="00E03574" w:rsidRDefault="00EA4C6C" w:rsidP="00E03574">
            <w:pPr>
              <w:jc w:val="center"/>
              <w:rPr>
                <w:rFonts w:ascii="Corbel" w:hAnsi="Corbel"/>
                <w:b/>
                <w:sz w:val="21"/>
                <w:szCs w:val="21"/>
              </w:rPr>
            </w:pPr>
          </w:p>
        </w:tc>
      </w:tr>
      <w:tr w:rsidR="00EA4C6C" w:rsidRPr="00E03574" w14:paraId="5E1A53B9" w14:textId="77777777" w:rsidTr="00EA4C6C">
        <w:trPr>
          <w:trHeight w:val="1025"/>
          <w:jc w:val="center"/>
        </w:trPr>
        <w:tc>
          <w:tcPr>
            <w:tcW w:w="3989" w:type="dxa"/>
            <w:vAlign w:val="center"/>
          </w:tcPr>
          <w:p w14:paraId="441EB1DF" w14:textId="623585BC" w:rsidR="00EA4C6C" w:rsidRPr="00E03574" w:rsidRDefault="00EA4C6C" w:rsidP="00E03574">
            <w:pPr>
              <w:jc w:val="center"/>
              <w:rPr>
                <w:rFonts w:ascii="Corbel" w:hAnsi="Corbel"/>
                <w:i/>
                <w:sz w:val="21"/>
                <w:szCs w:val="21"/>
              </w:rPr>
            </w:pPr>
            <w:r w:rsidRPr="00E03574">
              <w:rPr>
                <w:rFonts w:ascii="Corbel" w:hAnsi="Corbel"/>
                <w:i/>
                <w:sz w:val="21"/>
                <w:szCs w:val="21"/>
              </w:rPr>
              <w:t xml:space="preserve">Compétences académiques, </w:t>
            </w:r>
            <w:r>
              <w:rPr>
                <w:rFonts w:ascii="Corbel" w:hAnsi="Corbel"/>
                <w:i/>
                <w:sz w:val="21"/>
                <w:szCs w:val="21"/>
              </w:rPr>
              <w:t xml:space="preserve">acquis méthodologiques, </w:t>
            </w:r>
            <w:r w:rsidRPr="00E03574">
              <w:rPr>
                <w:rFonts w:ascii="Corbel" w:hAnsi="Corbel"/>
                <w:i/>
                <w:sz w:val="21"/>
                <w:szCs w:val="21"/>
              </w:rPr>
              <w:t>savoir-faire</w:t>
            </w:r>
          </w:p>
        </w:tc>
        <w:tc>
          <w:tcPr>
            <w:tcW w:w="3094" w:type="dxa"/>
          </w:tcPr>
          <w:p w14:paraId="73B9ECDE" w14:textId="77777777" w:rsidR="00EA4C6C" w:rsidRPr="00E03574" w:rsidRDefault="00EA4C6C" w:rsidP="00E03574">
            <w:pPr>
              <w:jc w:val="center"/>
              <w:rPr>
                <w:rFonts w:ascii="Corbel" w:hAnsi="Corbel"/>
                <w:b/>
                <w:sz w:val="21"/>
                <w:szCs w:val="21"/>
              </w:rPr>
            </w:pPr>
          </w:p>
        </w:tc>
        <w:tc>
          <w:tcPr>
            <w:tcW w:w="3094" w:type="dxa"/>
            <w:vAlign w:val="center"/>
          </w:tcPr>
          <w:p w14:paraId="0D97E156" w14:textId="0DE3B596" w:rsidR="00EA4C6C" w:rsidRPr="00E03574" w:rsidRDefault="00EA4C6C" w:rsidP="00E03574">
            <w:pPr>
              <w:jc w:val="center"/>
              <w:rPr>
                <w:rFonts w:ascii="Corbel" w:hAnsi="Corbel"/>
                <w:b/>
                <w:sz w:val="21"/>
                <w:szCs w:val="21"/>
              </w:rPr>
            </w:pPr>
          </w:p>
        </w:tc>
        <w:tc>
          <w:tcPr>
            <w:tcW w:w="3685" w:type="dxa"/>
            <w:vAlign w:val="center"/>
          </w:tcPr>
          <w:p w14:paraId="16AC4FD3" w14:textId="77777777" w:rsidR="00EA4C6C" w:rsidRPr="00E03574" w:rsidRDefault="00EA4C6C" w:rsidP="00E03574">
            <w:pPr>
              <w:jc w:val="center"/>
              <w:rPr>
                <w:rFonts w:ascii="Corbel" w:hAnsi="Corbel"/>
                <w:b/>
                <w:sz w:val="21"/>
                <w:szCs w:val="21"/>
              </w:rPr>
            </w:pPr>
          </w:p>
        </w:tc>
        <w:tc>
          <w:tcPr>
            <w:tcW w:w="2127" w:type="dxa"/>
            <w:vAlign w:val="center"/>
          </w:tcPr>
          <w:p w14:paraId="6B7F123D" w14:textId="77777777" w:rsidR="00EA4C6C" w:rsidRPr="00E03574" w:rsidRDefault="00EA4C6C" w:rsidP="00E03574">
            <w:pPr>
              <w:jc w:val="center"/>
              <w:rPr>
                <w:rFonts w:ascii="Corbel" w:hAnsi="Corbel"/>
                <w:b/>
                <w:sz w:val="21"/>
                <w:szCs w:val="21"/>
              </w:rPr>
            </w:pPr>
          </w:p>
        </w:tc>
      </w:tr>
      <w:tr w:rsidR="00EA4C6C" w:rsidRPr="00E03574" w14:paraId="4EAAE1E9" w14:textId="77777777" w:rsidTr="00EA4C6C">
        <w:trPr>
          <w:trHeight w:val="1026"/>
          <w:jc w:val="center"/>
        </w:trPr>
        <w:tc>
          <w:tcPr>
            <w:tcW w:w="3989" w:type="dxa"/>
            <w:vAlign w:val="center"/>
          </w:tcPr>
          <w:p w14:paraId="330AD09A" w14:textId="7FD0FDB2" w:rsidR="00EA4C6C" w:rsidRPr="00E03574" w:rsidRDefault="00EA4C6C" w:rsidP="00E03574">
            <w:pPr>
              <w:jc w:val="center"/>
              <w:rPr>
                <w:rFonts w:ascii="Corbel" w:hAnsi="Corbel"/>
                <w:i/>
                <w:sz w:val="21"/>
                <w:szCs w:val="21"/>
              </w:rPr>
            </w:pPr>
            <w:r>
              <w:rPr>
                <w:rFonts w:ascii="Corbel" w:hAnsi="Corbel"/>
                <w:i/>
                <w:sz w:val="21"/>
                <w:szCs w:val="21"/>
              </w:rPr>
              <w:t>S</w:t>
            </w:r>
            <w:r w:rsidRPr="00E03574">
              <w:rPr>
                <w:rFonts w:ascii="Corbel" w:hAnsi="Corbel"/>
                <w:i/>
                <w:sz w:val="21"/>
                <w:szCs w:val="21"/>
              </w:rPr>
              <w:t>avoir-être</w:t>
            </w:r>
          </w:p>
        </w:tc>
        <w:tc>
          <w:tcPr>
            <w:tcW w:w="3094" w:type="dxa"/>
          </w:tcPr>
          <w:p w14:paraId="0B92B0CF" w14:textId="77777777" w:rsidR="00EA4C6C" w:rsidRPr="00E03574" w:rsidRDefault="00EA4C6C" w:rsidP="00E03574">
            <w:pPr>
              <w:jc w:val="center"/>
              <w:rPr>
                <w:rFonts w:ascii="Corbel" w:hAnsi="Corbel"/>
                <w:b/>
                <w:sz w:val="21"/>
                <w:szCs w:val="21"/>
              </w:rPr>
            </w:pPr>
          </w:p>
        </w:tc>
        <w:tc>
          <w:tcPr>
            <w:tcW w:w="3094" w:type="dxa"/>
            <w:vAlign w:val="center"/>
          </w:tcPr>
          <w:p w14:paraId="0859FD64" w14:textId="3EC0F563" w:rsidR="00EA4C6C" w:rsidRPr="00E03574" w:rsidRDefault="00EA4C6C" w:rsidP="00E03574">
            <w:pPr>
              <w:jc w:val="center"/>
              <w:rPr>
                <w:rFonts w:ascii="Corbel" w:hAnsi="Corbel"/>
                <w:b/>
                <w:sz w:val="21"/>
                <w:szCs w:val="21"/>
              </w:rPr>
            </w:pPr>
          </w:p>
        </w:tc>
        <w:tc>
          <w:tcPr>
            <w:tcW w:w="3685" w:type="dxa"/>
            <w:vAlign w:val="center"/>
          </w:tcPr>
          <w:p w14:paraId="7F5A8ADD" w14:textId="77777777" w:rsidR="00EA4C6C" w:rsidRPr="00E03574" w:rsidRDefault="00EA4C6C" w:rsidP="00E03574">
            <w:pPr>
              <w:jc w:val="center"/>
              <w:rPr>
                <w:rFonts w:ascii="Corbel" w:hAnsi="Corbel"/>
                <w:b/>
                <w:sz w:val="21"/>
                <w:szCs w:val="21"/>
              </w:rPr>
            </w:pPr>
          </w:p>
        </w:tc>
        <w:tc>
          <w:tcPr>
            <w:tcW w:w="2127" w:type="dxa"/>
            <w:vAlign w:val="center"/>
          </w:tcPr>
          <w:p w14:paraId="4F8E4090" w14:textId="77777777" w:rsidR="00EA4C6C" w:rsidRPr="00E03574" w:rsidRDefault="00EA4C6C" w:rsidP="00E03574">
            <w:pPr>
              <w:jc w:val="center"/>
              <w:rPr>
                <w:rFonts w:ascii="Corbel" w:hAnsi="Corbel"/>
                <w:b/>
                <w:sz w:val="21"/>
                <w:szCs w:val="21"/>
              </w:rPr>
            </w:pPr>
          </w:p>
        </w:tc>
      </w:tr>
      <w:tr w:rsidR="00EA4C6C" w:rsidRPr="00E03574" w14:paraId="18D8D630" w14:textId="77777777" w:rsidTr="00EA4C6C">
        <w:trPr>
          <w:trHeight w:val="1025"/>
          <w:jc w:val="center"/>
        </w:trPr>
        <w:tc>
          <w:tcPr>
            <w:tcW w:w="3989" w:type="dxa"/>
            <w:vAlign w:val="center"/>
          </w:tcPr>
          <w:p w14:paraId="0CA9763F" w14:textId="4549F408" w:rsidR="00EA4C6C" w:rsidRPr="00E03574" w:rsidRDefault="00EA4C6C" w:rsidP="00E03574">
            <w:pPr>
              <w:jc w:val="center"/>
              <w:rPr>
                <w:rFonts w:ascii="Corbel" w:hAnsi="Corbel"/>
                <w:i/>
                <w:sz w:val="21"/>
                <w:szCs w:val="21"/>
              </w:rPr>
            </w:pPr>
            <w:r w:rsidRPr="00E03574">
              <w:rPr>
                <w:rFonts w:ascii="Corbel" w:hAnsi="Corbel"/>
                <w:i/>
                <w:sz w:val="21"/>
                <w:szCs w:val="21"/>
              </w:rPr>
              <w:t>Motivation, connaissance de la formation, cohérence du projet</w:t>
            </w:r>
          </w:p>
        </w:tc>
        <w:tc>
          <w:tcPr>
            <w:tcW w:w="3094" w:type="dxa"/>
          </w:tcPr>
          <w:p w14:paraId="283B749E" w14:textId="77777777" w:rsidR="00EA4C6C" w:rsidRPr="00E03574" w:rsidRDefault="00EA4C6C" w:rsidP="00E03574">
            <w:pPr>
              <w:jc w:val="center"/>
              <w:rPr>
                <w:rFonts w:ascii="Corbel" w:hAnsi="Corbel"/>
                <w:b/>
                <w:sz w:val="21"/>
                <w:szCs w:val="21"/>
              </w:rPr>
            </w:pPr>
          </w:p>
        </w:tc>
        <w:tc>
          <w:tcPr>
            <w:tcW w:w="3094" w:type="dxa"/>
            <w:vAlign w:val="center"/>
          </w:tcPr>
          <w:p w14:paraId="55C5B7A2" w14:textId="1595A083" w:rsidR="00EA4C6C" w:rsidRPr="00E03574" w:rsidRDefault="00EA4C6C" w:rsidP="00E03574">
            <w:pPr>
              <w:jc w:val="center"/>
              <w:rPr>
                <w:rFonts w:ascii="Corbel" w:hAnsi="Corbel"/>
                <w:b/>
                <w:sz w:val="21"/>
                <w:szCs w:val="21"/>
              </w:rPr>
            </w:pPr>
          </w:p>
        </w:tc>
        <w:tc>
          <w:tcPr>
            <w:tcW w:w="3685" w:type="dxa"/>
            <w:vAlign w:val="center"/>
          </w:tcPr>
          <w:p w14:paraId="1D22A49C" w14:textId="77777777" w:rsidR="00EA4C6C" w:rsidRPr="00E03574" w:rsidRDefault="00EA4C6C" w:rsidP="00E03574">
            <w:pPr>
              <w:jc w:val="center"/>
              <w:rPr>
                <w:rFonts w:ascii="Corbel" w:hAnsi="Corbel"/>
                <w:b/>
                <w:sz w:val="21"/>
                <w:szCs w:val="21"/>
              </w:rPr>
            </w:pPr>
          </w:p>
        </w:tc>
        <w:tc>
          <w:tcPr>
            <w:tcW w:w="2127" w:type="dxa"/>
            <w:vAlign w:val="center"/>
          </w:tcPr>
          <w:p w14:paraId="5511B795" w14:textId="77777777" w:rsidR="00EA4C6C" w:rsidRPr="00E03574" w:rsidRDefault="00EA4C6C" w:rsidP="00E03574">
            <w:pPr>
              <w:jc w:val="center"/>
              <w:rPr>
                <w:rFonts w:ascii="Corbel" w:hAnsi="Corbel"/>
                <w:b/>
                <w:sz w:val="21"/>
                <w:szCs w:val="21"/>
              </w:rPr>
            </w:pPr>
          </w:p>
        </w:tc>
      </w:tr>
      <w:tr w:rsidR="00EA4C6C" w:rsidRPr="00E03574" w14:paraId="5A9494A1" w14:textId="77777777" w:rsidTr="00EA4C6C">
        <w:trPr>
          <w:trHeight w:val="1026"/>
          <w:jc w:val="center"/>
        </w:trPr>
        <w:tc>
          <w:tcPr>
            <w:tcW w:w="3989" w:type="dxa"/>
            <w:vAlign w:val="center"/>
          </w:tcPr>
          <w:p w14:paraId="519DBE1D" w14:textId="560FFED6" w:rsidR="00EA4C6C" w:rsidRPr="00E03574" w:rsidRDefault="00EA4C6C" w:rsidP="004B3115">
            <w:pPr>
              <w:jc w:val="center"/>
              <w:rPr>
                <w:rFonts w:ascii="Corbel" w:hAnsi="Corbel"/>
                <w:i/>
                <w:sz w:val="21"/>
                <w:szCs w:val="21"/>
              </w:rPr>
            </w:pPr>
            <w:r w:rsidRPr="00E03574">
              <w:rPr>
                <w:rFonts w:ascii="Corbel" w:hAnsi="Corbel"/>
                <w:i/>
                <w:sz w:val="21"/>
                <w:szCs w:val="21"/>
              </w:rPr>
              <w:t>Engagements</w:t>
            </w:r>
            <w:r>
              <w:rPr>
                <w:rFonts w:ascii="Corbel" w:hAnsi="Corbel"/>
                <w:i/>
                <w:sz w:val="21"/>
                <w:szCs w:val="21"/>
              </w:rPr>
              <w:t>, activités et centres d’intérêt, réalisations</w:t>
            </w:r>
            <w:r w:rsidRPr="00E03574">
              <w:rPr>
                <w:rFonts w:ascii="Corbel" w:hAnsi="Corbel"/>
                <w:i/>
                <w:sz w:val="21"/>
                <w:szCs w:val="21"/>
              </w:rPr>
              <w:t xml:space="preserve"> péri ou extra-scolaires</w:t>
            </w:r>
          </w:p>
        </w:tc>
        <w:tc>
          <w:tcPr>
            <w:tcW w:w="3094" w:type="dxa"/>
          </w:tcPr>
          <w:p w14:paraId="68F988E0" w14:textId="77777777" w:rsidR="00EA4C6C" w:rsidRPr="00E03574" w:rsidRDefault="00EA4C6C" w:rsidP="00E03574">
            <w:pPr>
              <w:jc w:val="center"/>
              <w:rPr>
                <w:rFonts w:ascii="Corbel" w:hAnsi="Corbel"/>
                <w:b/>
                <w:sz w:val="21"/>
                <w:szCs w:val="21"/>
              </w:rPr>
            </w:pPr>
          </w:p>
        </w:tc>
        <w:tc>
          <w:tcPr>
            <w:tcW w:w="3094" w:type="dxa"/>
            <w:vAlign w:val="center"/>
          </w:tcPr>
          <w:p w14:paraId="484E5EE9" w14:textId="0BF59FA1" w:rsidR="00EA4C6C" w:rsidRPr="00E03574" w:rsidRDefault="00EA4C6C" w:rsidP="00E03574">
            <w:pPr>
              <w:jc w:val="center"/>
              <w:rPr>
                <w:rFonts w:ascii="Corbel" w:hAnsi="Corbel"/>
                <w:b/>
                <w:sz w:val="21"/>
                <w:szCs w:val="21"/>
              </w:rPr>
            </w:pPr>
          </w:p>
        </w:tc>
        <w:tc>
          <w:tcPr>
            <w:tcW w:w="3685" w:type="dxa"/>
            <w:vAlign w:val="center"/>
          </w:tcPr>
          <w:p w14:paraId="019BF3C7" w14:textId="77777777" w:rsidR="00EA4C6C" w:rsidRPr="00E03574" w:rsidRDefault="00EA4C6C" w:rsidP="00E03574">
            <w:pPr>
              <w:jc w:val="center"/>
              <w:rPr>
                <w:rFonts w:ascii="Corbel" w:hAnsi="Corbel"/>
                <w:b/>
                <w:sz w:val="21"/>
                <w:szCs w:val="21"/>
              </w:rPr>
            </w:pPr>
          </w:p>
        </w:tc>
        <w:tc>
          <w:tcPr>
            <w:tcW w:w="2127" w:type="dxa"/>
            <w:vAlign w:val="center"/>
          </w:tcPr>
          <w:p w14:paraId="56E3D8AE" w14:textId="77777777" w:rsidR="00EA4C6C" w:rsidRPr="00E03574" w:rsidRDefault="00EA4C6C" w:rsidP="00E03574">
            <w:pPr>
              <w:jc w:val="center"/>
              <w:rPr>
                <w:rFonts w:ascii="Corbel" w:hAnsi="Corbel"/>
                <w:b/>
                <w:sz w:val="21"/>
                <w:szCs w:val="21"/>
              </w:rPr>
            </w:pPr>
          </w:p>
        </w:tc>
      </w:tr>
    </w:tbl>
    <w:p w14:paraId="39A5BB6E" w14:textId="61F0599C" w:rsidR="00E03574" w:rsidRDefault="00E03574" w:rsidP="007D1D23">
      <w:pPr>
        <w:spacing w:line="240" w:lineRule="auto"/>
        <w:jc w:val="both"/>
      </w:pPr>
    </w:p>
    <w:p w14:paraId="5CAAA6E3" w14:textId="116E4333" w:rsidR="009C21CB" w:rsidRDefault="009C21CB" w:rsidP="00EA4C6C">
      <w:pPr>
        <w:spacing w:line="240" w:lineRule="auto"/>
        <w:jc w:val="both"/>
      </w:pPr>
      <w:commentRangeStart w:id="1"/>
      <w:commentRangeEnd w:id="1"/>
    </w:p>
    <w:sectPr w:rsidR="009C21CB" w:rsidSect="004014E9">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5E826" w16cex:dateUtc="2021-08-29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CAD676" w16cid:durableId="24D5E8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52826" w14:textId="77777777" w:rsidR="006549A3" w:rsidRDefault="006549A3" w:rsidP="00E20BA7">
      <w:pPr>
        <w:spacing w:after="0" w:line="240" w:lineRule="auto"/>
      </w:pPr>
      <w:r>
        <w:separator/>
      </w:r>
    </w:p>
  </w:endnote>
  <w:endnote w:type="continuationSeparator" w:id="0">
    <w:p w14:paraId="2C72B4C7" w14:textId="77777777" w:rsidR="006549A3" w:rsidRDefault="006549A3" w:rsidP="00E2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D49FD" w14:textId="77777777" w:rsidR="006549A3" w:rsidRDefault="006549A3" w:rsidP="00E20BA7">
      <w:pPr>
        <w:spacing w:after="0" w:line="240" w:lineRule="auto"/>
      </w:pPr>
      <w:r>
        <w:separator/>
      </w:r>
    </w:p>
  </w:footnote>
  <w:footnote w:type="continuationSeparator" w:id="0">
    <w:p w14:paraId="4738291F" w14:textId="77777777" w:rsidR="006549A3" w:rsidRDefault="006549A3" w:rsidP="00E20BA7">
      <w:pPr>
        <w:spacing w:after="0" w:line="240" w:lineRule="auto"/>
      </w:pPr>
      <w:r>
        <w:continuationSeparator/>
      </w:r>
    </w:p>
  </w:footnote>
  <w:footnote w:id="1">
    <w:p w14:paraId="1643EAD5" w14:textId="77777777" w:rsidR="00183C8A" w:rsidRPr="00BD364B" w:rsidRDefault="00183C8A" w:rsidP="00BD364B">
      <w:pPr>
        <w:pStyle w:val="Notedebasdepage"/>
        <w:jc w:val="both"/>
        <w:rPr>
          <w:sz w:val="16"/>
          <w:szCs w:val="16"/>
        </w:rPr>
      </w:pPr>
      <w:r w:rsidRPr="00851050">
        <w:rPr>
          <w:rStyle w:val="Appelnotedebasdep"/>
          <w:sz w:val="18"/>
          <w:szCs w:val="18"/>
        </w:rPr>
        <w:footnoteRef/>
      </w:r>
      <w:r w:rsidRPr="00851050">
        <w:rPr>
          <w:sz w:val="18"/>
          <w:szCs w:val="18"/>
        </w:rPr>
        <w:t xml:space="preserve"> </w:t>
      </w:r>
      <w:r w:rsidRPr="00BD364B">
        <w:rPr>
          <w:sz w:val="16"/>
          <w:szCs w:val="16"/>
        </w:rPr>
        <w:t>Il s’agit par exemple de :</w:t>
      </w:r>
    </w:p>
    <w:p w14:paraId="4694B41C" w14:textId="77777777" w:rsidR="00183C8A" w:rsidRPr="00BD364B" w:rsidRDefault="00183C8A" w:rsidP="00BD364B">
      <w:pPr>
        <w:pStyle w:val="Notedebasdepage"/>
        <w:jc w:val="both"/>
        <w:rPr>
          <w:sz w:val="16"/>
          <w:szCs w:val="16"/>
        </w:rPr>
      </w:pPr>
      <w:r w:rsidRPr="00BD364B">
        <w:rPr>
          <w:sz w:val="16"/>
          <w:szCs w:val="16"/>
        </w:rPr>
        <w:t>- la commission d’examen des vœux mentionnée à l’article D. 612-20 du code de l’éducation pour l’admission en classe préparatoire aux grandes écoles (CPGE),</w:t>
      </w:r>
    </w:p>
    <w:p w14:paraId="51CE81FE" w14:textId="77777777" w:rsidR="00183C8A" w:rsidRPr="00BD364B" w:rsidRDefault="00183C8A" w:rsidP="00BD364B">
      <w:pPr>
        <w:pStyle w:val="Notedebasdepage"/>
        <w:jc w:val="both"/>
        <w:rPr>
          <w:sz w:val="16"/>
          <w:szCs w:val="16"/>
        </w:rPr>
      </w:pPr>
      <w:r w:rsidRPr="00BD364B">
        <w:rPr>
          <w:sz w:val="16"/>
          <w:szCs w:val="16"/>
        </w:rPr>
        <w:t>- la commission d'admission formée principalement des professeurs de la section demandée pour l’accès en section de technicien supérieur (STS), conformément à l’article D. 612-31 du code de l’éducation,</w:t>
      </w:r>
    </w:p>
    <w:p w14:paraId="7A5DD5B8" w14:textId="77777777" w:rsidR="00183C8A" w:rsidRPr="00BD364B" w:rsidRDefault="00183C8A" w:rsidP="00BD364B">
      <w:pPr>
        <w:pStyle w:val="Notedebasdepage"/>
        <w:jc w:val="both"/>
        <w:rPr>
          <w:sz w:val="16"/>
          <w:szCs w:val="16"/>
        </w:rPr>
      </w:pPr>
      <w:r w:rsidRPr="00BD364B">
        <w:rPr>
          <w:sz w:val="16"/>
          <w:szCs w:val="16"/>
        </w:rPr>
        <w:t>- la commission présidée par le chef de l'établissement ou son représentant et composée de professeurs enseignant dans ce cycle d'études et d'un ou plusieurs professionnels, pour l’admission dans une section de diplôme des métiers d'art de l'enseignement public, conformément à l’article D. 643-42 du code de l’éducation,</w:t>
      </w:r>
    </w:p>
    <w:p w14:paraId="7CDCFBFC" w14:textId="6E194276" w:rsidR="00183C8A" w:rsidRPr="00BD364B" w:rsidRDefault="00183C8A" w:rsidP="00BD364B">
      <w:pPr>
        <w:pStyle w:val="Notedebasdepage"/>
        <w:jc w:val="both"/>
        <w:rPr>
          <w:sz w:val="16"/>
          <w:szCs w:val="16"/>
        </w:rPr>
      </w:pPr>
      <w:r w:rsidRPr="00BD364B">
        <w:rPr>
          <w:sz w:val="16"/>
          <w:szCs w:val="16"/>
        </w:rPr>
        <w:t>- la commission d’examen des vœux mentionnée au IV de l’article 3 de l’arrêté du 30 juillet 2009 relatif au diplôme d’</w:t>
      </w:r>
      <w:r w:rsidRPr="00BD364B">
        <w:rPr>
          <w:sz w:val="16"/>
          <w:szCs w:val="16"/>
        </w:rPr>
        <w:t>Etat</w:t>
      </w:r>
      <w:r w:rsidRPr="00BD364B">
        <w:rPr>
          <w:sz w:val="16"/>
          <w:szCs w:val="16"/>
        </w:rPr>
        <w:t xml:space="preserve"> d’infirmier, pour l’admission en première année de formation à ce diplôme.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A399" w14:textId="68205D62" w:rsidR="00227C8E" w:rsidRDefault="00227C8E">
    <w:pPr>
      <w:pStyle w:val="En-tte"/>
    </w:pPr>
    <w:r w:rsidRPr="00FF5DD7">
      <w:rPr>
        <w:noProof/>
        <w:highlight w:val="yellow"/>
        <w:lang w:eastAsia="fr-FR"/>
      </w:rPr>
      <w:drawing>
        <wp:inline distT="0" distB="0" distL="0" distR="0" wp14:anchorId="3CAB7821" wp14:editId="192C69AD">
          <wp:extent cx="1445895" cy="1418905"/>
          <wp:effectExtent l="0" t="0" r="1905" b="0"/>
          <wp:docPr id="13" name="Image 13" descr="LOGO MESRI | Université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SRI | Université de Par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897" cy="14277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2CC"/>
    <w:multiLevelType w:val="hybridMultilevel"/>
    <w:tmpl w:val="571A0516"/>
    <w:lvl w:ilvl="0" w:tplc="CC429EF2">
      <w:numFmt w:val="bullet"/>
      <w:lvlText w:val="-"/>
      <w:lvlJc w:val="left"/>
      <w:pPr>
        <w:ind w:left="720" w:hanging="360"/>
      </w:pPr>
      <w:rPr>
        <w:rFonts w:ascii="Corbel" w:eastAsiaTheme="minorHAnsi" w:hAnsi="Corbel" w:cs="Corbe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06271E"/>
    <w:multiLevelType w:val="hybridMultilevel"/>
    <w:tmpl w:val="E026BC10"/>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10530646"/>
    <w:multiLevelType w:val="hybridMultilevel"/>
    <w:tmpl w:val="6C36AD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03028D"/>
    <w:multiLevelType w:val="hybridMultilevel"/>
    <w:tmpl w:val="335EFC1A"/>
    <w:lvl w:ilvl="0" w:tplc="E30CD364">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101698"/>
    <w:multiLevelType w:val="hybridMultilevel"/>
    <w:tmpl w:val="B0CC27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777649"/>
    <w:multiLevelType w:val="hybridMultilevel"/>
    <w:tmpl w:val="A836D4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AE1972"/>
    <w:multiLevelType w:val="hybridMultilevel"/>
    <w:tmpl w:val="673E3082"/>
    <w:lvl w:ilvl="0" w:tplc="AD6A4D06">
      <w:numFmt w:val="bullet"/>
      <w:lvlText w:val="-"/>
      <w:lvlJc w:val="left"/>
      <w:pPr>
        <w:ind w:left="720" w:hanging="360"/>
      </w:pPr>
      <w:rPr>
        <w:rFonts w:ascii="Corbel" w:eastAsiaTheme="minorHAnsi" w:hAnsi="Corbel" w:cs="Corbe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7C12C8"/>
    <w:multiLevelType w:val="hybridMultilevel"/>
    <w:tmpl w:val="5E26496C"/>
    <w:lvl w:ilvl="0" w:tplc="E30CD364">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805DE0"/>
    <w:multiLevelType w:val="hybridMultilevel"/>
    <w:tmpl w:val="6E08B538"/>
    <w:lvl w:ilvl="0" w:tplc="E30CD364">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240A4E"/>
    <w:multiLevelType w:val="hybridMultilevel"/>
    <w:tmpl w:val="0CA8D0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753ED2"/>
    <w:multiLevelType w:val="hybridMultilevel"/>
    <w:tmpl w:val="01045BA4"/>
    <w:lvl w:ilvl="0" w:tplc="E30CD3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9A0B31"/>
    <w:multiLevelType w:val="hybridMultilevel"/>
    <w:tmpl w:val="10B8CBAC"/>
    <w:lvl w:ilvl="0" w:tplc="7FC07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EE279F"/>
    <w:multiLevelType w:val="hybridMultilevel"/>
    <w:tmpl w:val="5FCA3EE4"/>
    <w:lvl w:ilvl="0" w:tplc="E30CD3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7"/>
  </w:num>
  <w:num w:numId="5">
    <w:abstractNumId w:val="12"/>
  </w:num>
  <w:num w:numId="6">
    <w:abstractNumId w:val="2"/>
  </w:num>
  <w:num w:numId="7">
    <w:abstractNumId w:val="11"/>
  </w:num>
  <w:num w:numId="8">
    <w:abstractNumId w:val="0"/>
  </w:num>
  <w:num w:numId="9">
    <w:abstractNumId w:val="4"/>
  </w:num>
  <w:num w:numId="10">
    <w:abstractNumId w:val="9"/>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C4"/>
    <w:rsid w:val="0001321B"/>
    <w:rsid w:val="00023A95"/>
    <w:rsid w:val="000251BB"/>
    <w:rsid w:val="00046734"/>
    <w:rsid w:val="00047D59"/>
    <w:rsid w:val="00052743"/>
    <w:rsid w:val="00072173"/>
    <w:rsid w:val="00084338"/>
    <w:rsid w:val="0008625B"/>
    <w:rsid w:val="000876EB"/>
    <w:rsid w:val="00093AD1"/>
    <w:rsid w:val="00096020"/>
    <w:rsid w:val="000A1A0C"/>
    <w:rsid w:val="000A7F43"/>
    <w:rsid w:val="000D6868"/>
    <w:rsid w:val="001044AF"/>
    <w:rsid w:val="00106532"/>
    <w:rsid w:val="0012103E"/>
    <w:rsid w:val="00125108"/>
    <w:rsid w:val="00131BFB"/>
    <w:rsid w:val="0013214C"/>
    <w:rsid w:val="0014304C"/>
    <w:rsid w:val="00155B4C"/>
    <w:rsid w:val="001658B7"/>
    <w:rsid w:val="00166D53"/>
    <w:rsid w:val="00172749"/>
    <w:rsid w:val="00176314"/>
    <w:rsid w:val="00183C8A"/>
    <w:rsid w:val="00183DFC"/>
    <w:rsid w:val="00190B0A"/>
    <w:rsid w:val="001B1DB7"/>
    <w:rsid w:val="001D50D4"/>
    <w:rsid w:val="001E416C"/>
    <w:rsid w:val="001E7590"/>
    <w:rsid w:val="00206766"/>
    <w:rsid w:val="00212840"/>
    <w:rsid w:val="00227C8E"/>
    <w:rsid w:val="00252A6F"/>
    <w:rsid w:val="00257AA2"/>
    <w:rsid w:val="00266C87"/>
    <w:rsid w:val="00283336"/>
    <w:rsid w:val="00285EAC"/>
    <w:rsid w:val="0028689A"/>
    <w:rsid w:val="00292825"/>
    <w:rsid w:val="002A0009"/>
    <w:rsid w:val="002A0A7E"/>
    <w:rsid w:val="002A6CCD"/>
    <w:rsid w:val="002B294D"/>
    <w:rsid w:val="002C7208"/>
    <w:rsid w:val="002E7A75"/>
    <w:rsid w:val="002F58B7"/>
    <w:rsid w:val="002F5E8D"/>
    <w:rsid w:val="002F714C"/>
    <w:rsid w:val="00305196"/>
    <w:rsid w:val="00312E5A"/>
    <w:rsid w:val="0032245B"/>
    <w:rsid w:val="00324D54"/>
    <w:rsid w:val="0035130F"/>
    <w:rsid w:val="00367431"/>
    <w:rsid w:val="0037587B"/>
    <w:rsid w:val="003829AB"/>
    <w:rsid w:val="003865C8"/>
    <w:rsid w:val="00391652"/>
    <w:rsid w:val="003942BA"/>
    <w:rsid w:val="003A54B1"/>
    <w:rsid w:val="003B0D2E"/>
    <w:rsid w:val="003B1427"/>
    <w:rsid w:val="003B1626"/>
    <w:rsid w:val="003B7484"/>
    <w:rsid w:val="003D4653"/>
    <w:rsid w:val="003E17E6"/>
    <w:rsid w:val="004014E9"/>
    <w:rsid w:val="0041697A"/>
    <w:rsid w:val="00417071"/>
    <w:rsid w:val="0043498C"/>
    <w:rsid w:val="00443623"/>
    <w:rsid w:val="00447436"/>
    <w:rsid w:val="00463B86"/>
    <w:rsid w:val="00472C91"/>
    <w:rsid w:val="00482E5C"/>
    <w:rsid w:val="00491A3F"/>
    <w:rsid w:val="004937DD"/>
    <w:rsid w:val="00493AAF"/>
    <w:rsid w:val="004B3115"/>
    <w:rsid w:val="004E3EA2"/>
    <w:rsid w:val="004F022F"/>
    <w:rsid w:val="00504D1D"/>
    <w:rsid w:val="00513547"/>
    <w:rsid w:val="005141CB"/>
    <w:rsid w:val="0053266B"/>
    <w:rsid w:val="00542386"/>
    <w:rsid w:val="00551123"/>
    <w:rsid w:val="00562683"/>
    <w:rsid w:val="0057194A"/>
    <w:rsid w:val="00575E3F"/>
    <w:rsid w:val="005B2DD5"/>
    <w:rsid w:val="005D66A1"/>
    <w:rsid w:val="005E2DC4"/>
    <w:rsid w:val="006025F3"/>
    <w:rsid w:val="006161BB"/>
    <w:rsid w:val="00622D0B"/>
    <w:rsid w:val="0063433B"/>
    <w:rsid w:val="00634E54"/>
    <w:rsid w:val="00643275"/>
    <w:rsid w:val="00643B1A"/>
    <w:rsid w:val="006549A3"/>
    <w:rsid w:val="00656D1C"/>
    <w:rsid w:val="006705CC"/>
    <w:rsid w:val="00672FD1"/>
    <w:rsid w:val="00675CF4"/>
    <w:rsid w:val="0069304C"/>
    <w:rsid w:val="006A0604"/>
    <w:rsid w:val="006A54C8"/>
    <w:rsid w:val="006A67DC"/>
    <w:rsid w:val="006B1F82"/>
    <w:rsid w:val="006D0524"/>
    <w:rsid w:val="006E262A"/>
    <w:rsid w:val="00713311"/>
    <w:rsid w:val="007800F3"/>
    <w:rsid w:val="00786A41"/>
    <w:rsid w:val="007B294F"/>
    <w:rsid w:val="007B453E"/>
    <w:rsid w:val="007B637D"/>
    <w:rsid w:val="007B65D0"/>
    <w:rsid w:val="007B7564"/>
    <w:rsid w:val="007C029E"/>
    <w:rsid w:val="007C453E"/>
    <w:rsid w:val="007D1D23"/>
    <w:rsid w:val="007D409F"/>
    <w:rsid w:val="007F0387"/>
    <w:rsid w:val="007F6898"/>
    <w:rsid w:val="008008A8"/>
    <w:rsid w:val="0081665A"/>
    <w:rsid w:val="008172B7"/>
    <w:rsid w:val="00822518"/>
    <w:rsid w:val="00832D2A"/>
    <w:rsid w:val="008453F5"/>
    <w:rsid w:val="00863247"/>
    <w:rsid w:val="008715F0"/>
    <w:rsid w:val="008A286B"/>
    <w:rsid w:val="008A6EF4"/>
    <w:rsid w:val="008C1513"/>
    <w:rsid w:val="008F5D91"/>
    <w:rsid w:val="009121DC"/>
    <w:rsid w:val="009125F9"/>
    <w:rsid w:val="00912E32"/>
    <w:rsid w:val="009444B0"/>
    <w:rsid w:val="00961A55"/>
    <w:rsid w:val="00965F71"/>
    <w:rsid w:val="009834C7"/>
    <w:rsid w:val="00990CA2"/>
    <w:rsid w:val="00992ACB"/>
    <w:rsid w:val="009A237A"/>
    <w:rsid w:val="009A3425"/>
    <w:rsid w:val="009B460B"/>
    <w:rsid w:val="009B5BC6"/>
    <w:rsid w:val="009C21CB"/>
    <w:rsid w:val="009C7812"/>
    <w:rsid w:val="009D307B"/>
    <w:rsid w:val="009D7EE0"/>
    <w:rsid w:val="009E37DF"/>
    <w:rsid w:val="009F2C8A"/>
    <w:rsid w:val="009F3657"/>
    <w:rsid w:val="00A01E72"/>
    <w:rsid w:val="00A05EC7"/>
    <w:rsid w:val="00A340D7"/>
    <w:rsid w:val="00A439CF"/>
    <w:rsid w:val="00A76C35"/>
    <w:rsid w:val="00A774AB"/>
    <w:rsid w:val="00A81FC3"/>
    <w:rsid w:val="00A9169C"/>
    <w:rsid w:val="00AA230B"/>
    <w:rsid w:val="00AB30A8"/>
    <w:rsid w:val="00AC5C58"/>
    <w:rsid w:val="00AC7121"/>
    <w:rsid w:val="00AD2416"/>
    <w:rsid w:val="00AD31F9"/>
    <w:rsid w:val="00AE58EE"/>
    <w:rsid w:val="00AF6488"/>
    <w:rsid w:val="00B126E6"/>
    <w:rsid w:val="00B14207"/>
    <w:rsid w:val="00B21CFF"/>
    <w:rsid w:val="00B332AC"/>
    <w:rsid w:val="00B64879"/>
    <w:rsid w:val="00B64D2B"/>
    <w:rsid w:val="00B73109"/>
    <w:rsid w:val="00B9707E"/>
    <w:rsid w:val="00BC6E74"/>
    <w:rsid w:val="00BC6E86"/>
    <w:rsid w:val="00BD364B"/>
    <w:rsid w:val="00C370F6"/>
    <w:rsid w:val="00C447DA"/>
    <w:rsid w:val="00C5726F"/>
    <w:rsid w:val="00C71D06"/>
    <w:rsid w:val="00C81D35"/>
    <w:rsid w:val="00C832B8"/>
    <w:rsid w:val="00C87EDD"/>
    <w:rsid w:val="00C971F9"/>
    <w:rsid w:val="00CC1FF5"/>
    <w:rsid w:val="00CC5495"/>
    <w:rsid w:val="00CD0EE5"/>
    <w:rsid w:val="00D07209"/>
    <w:rsid w:val="00D2226C"/>
    <w:rsid w:val="00D25066"/>
    <w:rsid w:val="00D2528D"/>
    <w:rsid w:val="00D30F7F"/>
    <w:rsid w:val="00D37ADC"/>
    <w:rsid w:val="00D43C5A"/>
    <w:rsid w:val="00D521BC"/>
    <w:rsid w:val="00D557DD"/>
    <w:rsid w:val="00D56AFD"/>
    <w:rsid w:val="00D716D8"/>
    <w:rsid w:val="00D82251"/>
    <w:rsid w:val="00D967B4"/>
    <w:rsid w:val="00DA0658"/>
    <w:rsid w:val="00DB241E"/>
    <w:rsid w:val="00DF3E42"/>
    <w:rsid w:val="00E03574"/>
    <w:rsid w:val="00E0778A"/>
    <w:rsid w:val="00E1079B"/>
    <w:rsid w:val="00E114C0"/>
    <w:rsid w:val="00E131F5"/>
    <w:rsid w:val="00E20BA7"/>
    <w:rsid w:val="00E247ED"/>
    <w:rsid w:val="00E27EFB"/>
    <w:rsid w:val="00E33C9E"/>
    <w:rsid w:val="00E67E53"/>
    <w:rsid w:val="00E84F30"/>
    <w:rsid w:val="00E947F8"/>
    <w:rsid w:val="00E96372"/>
    <w:rsid w:val="00EA4C6C"/>
    <w:rsid w:val="00EB1FE0"/>
    <w:rsid w:val="00EB7924"/>
    <w:rsid w:val="00EC2D4C"/>
    <w:rsid w:val="00ED2EF6"/>
    <w:rsid w:val="00ED3BD9"/>
    <w:rsid w:val="00ED4981"/>
    <w:rsid w:val="00ED6C50"/>
    <w:rsid w:val="00F132C5"/>
    <w:rsid w:val="00F32205"/>
    <w:rsid w:val="00F362E9"/>
    <w:rsid w:val="00F40B4A"/>
    <w:rsid w:val="00F40BA2"/>
    <w:rsid w:val="00F57DD5"/>
    <w:rsid w:val="00F6120C"/>
    <w:rsid w:val="00F85A61"/>
    <w:rsid w:val="00F93A8B"/>
    <w:rsid w:val="00FD13FC"/>
    <w:rsid w:val="00FD4CAA"/>
    <w:rsid w:val="00FF40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092C59"/>
  <w15:docId w15:val="{7E86E33A-4D11-1246-A583-9266C18C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6C50"/>
    <w:pPr>
      <w:ind w:left="720"/>
      <w:contextualSpacing/>
    </w:pPr>
  </w:style>
  <w:style w:type="table" w:styleId="Grilledutableau">
    <w:name w:val="Table Grid"/>
    <w:basedOn w:val="TableauNormal"/>
    <w:uiPriority w:val="59"/>
    <w:rsid w:val="00D3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B1F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F82"/>
    <w:rPr>
      <w:rFonts w:ascii="Tahoma" w:hAnsi="Tahoma" w:cs="Tahoma"/>
      <w:sz w:val="16"/>
      <w:szCs w:val="16"/>
    </w:rPr>
  </w:style>
  <w:style w:type="paragraph" w:customStyle="1" w:styleId="Default">
    <w:name w:val="Default"/>
    <w:rsid w:val="006B1F82"/>
    <w:pPr>
      <w:autoSpaceDE w:val="0"/>
      <w:autoSpaceDN w:val="0"/>
      <w:adjustRightInd w:val="0"/>
      <w:spacing w:after="0" w:line="240" w:lineRule="auto"/>
    </w:pPr>
    <w:rPr>
      <w:rFonts w:ascii="Corbel" w:hAnsi="Corbel" w:cs="Corbel"/>
      <w:color w:val="000000"/>
      <w:sz w:val="24"/>
      <w:szCs w:val="24"/>
    </w:rPr>
  </w:style>
  <w:style w:type="character" w:styleId="Lienhypertexte">
    <w:name w:val="Hyperlink"/>
    <w:basedOn w:val="Policepardfaut"/>
    <w:uiPriority w:val="99"/>
    <w:unhideWhenUsed/>
    <w:rsid w:val="00125108"/>
    <w:rPr>
      <w:color w:val="0000FF" w:themeColor="hyperlink"/>
      <w:u w:val="single"/>
    </w:rPr>
  </w:style>
  <w:style w:type="character" w:styleId="Marquedecommentaire">
    <w:name w:val="annotation reference"/>
    <w:basedOn w:val="Policepardfaut"/>
    <w:uiPriority w:val="99"/>
    <w:semiHidden/>
    <w:unhideWhenUsed/>
    <w:rsid w:val="00CC1FF5"/>
    <w:rPr>
      <w:sz w:val="16"/>
      <w:szCs w:val="16"/>
    </w:rPr>
  </w:style>
  <w:style w:type="paragraph" w:styleId="Commentaire">
    <w:name w:val="annotation text"/>
    <w:basedOn w:val="Normal"/>
    <w:link w:val="CommentaireCar"/>
    <w:uiPriority w:val="99"/>
    <w:semiHidden/>
    <w:unhideWhenUsed/>
    <w:rsid w:val="00CC1FF5"/>
    <w:pPr>
      <w:spacing w:line="240" w:lineRule="auto"/>
    </w:pPr>
    <w:rPr>
      <w:sz w:val="20"/>
      <w:szCs w:val="20"/>
    </w:rPr>
  </w:style>
  <w:style w:type="character" w:customStyle="1" w:styleId="CommentaireCar">
    <w:name w:val="Commentaire Car"/>
    <w:basedOn w:val="Policepardfaut"/>
    <w:link w:val="Commentaire"/>
    <w:uiPriority w:val="99"/>
    <w:semiHidden/>
    <w:rsid w:val="00CC1FF5"/>
    <w:rPr>
      <w:sz w:val="20"/>
      <w:szCs w:val="20"/>
    </w:rPr>
  </w:style>
  <w:style w:type="paragraph" w:styleId="Objetducommentaire">
    <w:name w:val="annotation subject"/>
    <w:basedOn w:val="Commentaire"/>
    <w:next w:val="Commentaire"/>
    <w:link w:val="ObjetducommentaireCar"/>
    <w:uiPriority w:val="99"/>
    <w:semiHidden/>
    <w:unhideWhenUsed/>
    <w:rsid w:val="00CC1FF5"/>
    <w:rPr>
      <w:b/>
      <w:bCs/>
    </w:rPr>
  </w:style>
  <w:style w:type="character" w:customStyle="1" w:styleId="ObjetducommentaireCar">
    <w:name w:val="Objet du commentaire Car"/>
    <w:basedOn w:val="CommentaireCar"/>
    <w:link w:val="Objetducommentaire"/>
    <w:uiPriority w:val="99"/>
    <w:semiHidden/>
    <w:rsid w:val="00CC1FF5"/>
    <w:rPr>
      <w:b/>
      <w:bCs/>
      <w:sz w:val="20"/>
      <w:szCs w:val="20"/>
    </w:rPr>
  </w:style>
  <w:style w:type="paragraph" w:styleId="En-tte">
    <w:name w:val="header"/>
    <w:basedOn w:val="Normal"/>
    <w:link w:val="En-tteCar"/>
    <w:uiPriority w:val="99"/>
    <w:unhideWhenUsed/>
    <w:rsid w:val="00E20BA7"/>
    <w:pPr>
      <w:tabs>
        <w:tab w:val="center" w:pos="4536"/>
        <w:tab w:val="right" w:pos="9072"/>
      </w:tabs>
      <w:spacing w:after="0" w:line="240" w:lineRule="auto"/>
    </w:pPr>
  </w:style>
  <w:style w:type="character" w:customStyle="1" w:styleId="En-tteCar">
    <w:name w:val="En-tête Car"/>
    <w:basedOn w:val="Policepardfaut"/>
    <w:link w:val="En-tte"/>
    <w:uiPriority w:val="99"/>
    <w:rsid w:val="00E20BA7"/>
  </w:style>
  <w:style w:type="paragraph" w:styleId="Pieddepage">
    <w:name w:val="footer"/>
    <w:basedOn w:val="Normal"/>
    <w:link w:val="PieddepageCar"/>
    <w:uiPriority w:val="99"/>
    <w:unhideWhenUsed/>
    <w:rsid w:val="00E20B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BA7"/>
  </w:style>
  <w:style w:type="paragraph" w:styleId="Notedebasdepage">
    <w:name w:val="footnote text"/>
    <w:basedOn w:val="Normal"/>
    <w:link w:val="NotedebasdepageCar"/>
    <w:uiPriority w:val="99"/>
    <w:semiHidden/>
    <w:unhideWhenUsed/>
    <w:rsid w:val="00BD36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364B"/>
    <w:rPr>
      <w:sz w:val="20"/>
      <w:szCs w:val="20"/>
    </w:rPr>
  </w:style>
  <w:style w:type="character" w:styleId="Appelnotedebasdep">
    <w:name w:val="footnote reference"/>
    <w:basedOn w:val="Policepardfaut"/>
    <w:uiPriority w:val="99"/>
    <w:semiHidden/>
    <w:unhideWhenUsed/>
    <w:rsid w:val="00BD364B"/>
    <w:rPr>
      <w:vertAlign w:val="superscript"/>
    </w:rPr>
  </w:style>
  <w:style w:type="paragraph" w:styleId="Rvision">
    <w:name w:val="Revision"/>
    <w:hidden/>
    <w:uiPriority w:val="99"/>
    <w:semiHidden/>
    <w:rsid w:val="00DA0658"/>
    <w:pPr>
      <w:spacing w:after="0" w:line="240" w:lineRule="auto"/>
    </w:pPr>
  </w:style>
  <w:style w:type="paragraph" w:styleId="Corpsdetexte">
    <w:name w:val="Body Text"/>
    <w:basedOn w:val="Normal"/>
    <w:link w:val="CorpsdetexteCar"/>
    <w:uiPriority w:val="1"/>
    <w:qFormat/>
    <w:rsid w:val="00D557DD"/>
    <w:pPr>
      <w:widowControl w:val="0"/>
      <w:autoSpaceDE w:val="0"/>
      <w:autoSpaceDN w:val="0"/>
      <w:spacing w:after="0"/>
    </w:pPr>
    <w:rPr>
      <w:rFonts w:ascii="Arial" w:hAnsi="Arial" w:cs="Arial"/>
      <w:sz w:val="20"/>
    </w:rPr>
  </w:style>
  <w:style w:type="character" w:customStyle="1" w:styleId="CorpsdetexteCar">
    <w:name w:val="Corps de texte Car"/>
    <w:basedOn w:val="Policepardfaut"/>
    <w:link w:val="Corpsdetexte"/>
    <w:uiPriority w:val="1"/>
    <w:rsid w:val="00D557D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AA350-4DEA-4B1C-8ECC-D5A387B4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1686</Words>
  <Characters>9274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JEROME TEILLARD</cp:lastModifiedBy>
  <cp:revision>8</cp:revision>
  <cp:lastPrinted>2020-06-07T15:00:00Z</cp:lastPrinted>
  <dcterms:created xsi:type="dcterms:W3CDTF">2022-05-08T09:09:00Z</dcterms:created>
  <dcterms:modified xsi:type="dcterms:W3CDTF">2022-05-08T14:39:00Z</dcterms:modified>
</cp:coreProperties>
</file>